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0A615" w14:textId="52C28517" w:rsidR="00791240" w:rsidRDefault="00791240"/>
    <w:p w14:paraId="79EA58F4" w14:textId="64876F12" w:rsidR="00791240" w:rsidRDefault="00791240" w:rsidP="00791240">
      <w:pPr>
        <w:spacing w:after="480"/>
      </w:pPr>
      <w:r>
        <w:rPr>
          <w:rFonts w:ascii="Arial Black" w:hAnsi="Arial Black"/>
          <w:noProof/>
          <w:color w:val="999999"/>
          <w:sz w:val="36"/>
          <w:szCs w:val="36"/>
          <w:lang w:eastAsia="en-GB"/>
        </w:rPr>
        <w:drawing>
          <wp:inline distT="0" distB="0" distL="0" distR="0" wp14:anchorId="4BC453BE" wp14:editId="45CD8EC4">
            <wp:extent cx="2009775" cy="495935"/>
            <wp:effectExtent l="0" t="0" r="9525" b="0"/>
            <wp:docPr id="3" name="Picture 3"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5"/>
        <w:gridCol w:w="4914"/>
      </w:tblGrid>
      <w:tr w:rsidR="00791240" w14:paraId="15203CBF" w14:textId="77777777" w:rsidTr="0081234A">
        <w:trPr>
          <w:tblHeader/>
        </w:trPr>
        <w:tc>
          <w:tcPr>
            <w:tcW w:w="3456" w:type="dxa"/>
            <w:tcBorders>
              <w:bottom w:val="single" w:sz="18" w:space="0" w:color="auto"/>
            </w:tcBorders>
          </w:tcPr>
          <w:p w14:paraId="2E638732" w14:textId="77777777" w:rsidR="00791240" w:rsidRPr="00B805DB" w:rsidRDefault="00791240" w:rsidP="0081234A">
            <w:pPr>
              <w:pStyle w:val="Heading1"/>
              <w:spacing w:after="240"/>
              <w:outlineLvl w:val="0"/>
            </w:pPr>
            <w:r>
              <w:t>Report f</w:t>
            </w:r>
            <w:r w:rsidRPr="00C869F3">
              <w:t>or:</w:t>
            </w:r>
          </w:p>
        </w:tc>
        <w:tc>
          <w:tcPr>
            <w:tcW w:w="5054" w:type="dxa"/>
            <w:tcBorders>
              <w:bottom w:val="single" w:sz="18" w:space="0" w:color="auto"/>
            </w:tcBorders>
          </w:tcPr>
          <w:p w14:paraId="3B465B10" w14:textId="77777777" w:rsidR="00791240" w:rsidRPr="005E3A10" w:rsidRDefault="00791240" w:rsidP="0081234A">
            <w:pPr>
              <w:pStyle w:val="Heading1"/>
              <w:outlineLvl w:val="0"/>
              <w:rPr>
                <w:szCs w:val="24"/>
              </w:rPr>
            </w:pPr>
            <w:r w:rsidRPr="005E3A10">
              <w:t>Cabinet</w:t>
            </w:r>
          </w:p>
        </w:tc>
      </w:tr>
      <w:tr w:rsidR="00791240" w14:paraId="10A75C67" w14:textId="77777777" w:rsidTr="0081234A">
        <w:tc>
          <w:tcPr>
            <w:tcW w:w="3456" w:type="dxa"/>
            <w:tcBorders>
              <w:top w:val="single" w:sz="18" w:space="0" w:color="auto"/>
            </w:tcBorders>
          </w:tcPr>
          <w:p w14:paraId="10C72D40" w14:textId="77777777" w:rsidR="00791240" w:rsidRPr="00C13A5F" w:rsidRDefault="00791240" w:rsidP="0081234A">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441FBD20" w14:textId="5CA6D12E" w:rsidR="00791240" w:rsidRPr="005E3A10" w:rsidRDefault="00791240" w:rsidP="0081234A">
            <w:pPr>
              <w:rPr>
                <w:rFonts w:cs="Arial"/>
                <w:szCs w:val="24"/>
              </w:rPr>
            </w:pPr>
            <w:r>
              <w:rPr>
                <w:rFonts w:cs="Arial"/>
                <w:szCs w:val="24"/>
              </w:rPr>
              <w:t>11 February 2021</w:t>
            </w:r>
          </w:p>
        </w:tc>
      </w:tr>
      <w:tr w:rsidR="00791240" w14:paraId="044601B8" w14:textId="77777777" w:rsidTr="0081234A">
        <w:tc>
          <w:tcPr>
            <w:tcW w:w="3456" w:type="dxa"/>
          </w:tcPr>
          <w:p w14:paraId="7F90A4D8" w14:textId="77777777" w:rsidR="00791240" w:rsidRPr="00C13A5F" w:rsidRDefault="00791240" w:rsidP="0081234A">
            <w:pPr>
              <w:pStyle w:val="Infotext"/>
              <w:spacing w:after="240"/>
              <w:rPr>
                <w:rFonts w:ascii="Arial Black" w:hAnsi="Arial Black"/>
              </w:rPr>
            </w:pPr>
            <w:r w:rsidRPr="00C13A5F">
              <w:rPr>
                <w:rFonts w:ascii="Arial Black" w:hAnsi="Arial Black" w:cs="Arial"/>
              </w:rPr>
              <w:t>Subject:</w:t>
            </w:r>
          </w:p>
        </w:tc>
        <w:tc>
          <w:tcPr>
            <w:tcW w:w="5054" w:type="dxa"/>
          </w:tcPr>
          <w:p w14:paraId="6BA96A26" w14:textId="2EB3781C" w:rsidR="00791240" w:rsidRDefault="00791240" w:rsidP="00791240">
            <w:pPr>
              <w:rPr>
                <w:rFonts w:cs="Arial"/>
                <w:szCs w:val="24"/>
              </w:rPr>
            </w:pPr>
            <w:r w:rsidRPr="001F02FA">
              <w:rPr>
                <w:rFonts w:cs="Arial"/>
                <w:szCs w:val="24"/>
              </w:rPr>
              <w:t>Annual Treasury Management Strategy Statement including Prudential Indicators, Minimum Revenue Provision Policy Statement, Annual Investment Strategy and Annual</w:t>
            </w:r>
            <w:r w:rsidRPr="002D7939">
              <w:rPr>
                <w:rFonts w:cs="Arial"/>
                <w:szCs w:val="24"/>
              </w:rPr>
              <w:t xml:space="preserve"> Capital Strategy</w:t>
            </w:r>
            <w:r>
              <w:rPr>
                <w:rFonts w:cs="Arial"/>
                <w:szCs w:val="24"/>
              </w:rPr>
              <w:t xml:space="preserve"> </w:t>
            </w:r>
            <w:r w:rsidRPr="001F02FA">
              <w:rPr>
                <w:rFonts w:cs="Arial"/>
                <w:szCs w:val="24"/>
              </w:rPr>
              <w:t>for 202</w:t>
            </w:r>
            <w:r>
              <w:rPr>
                <w:rFonts w:cs="Arial"/>
                <w:szCs w:val="24"/>
              </w:rPr>
              <w:t>1</w:t>
            </w:r>
            <w:r w:rsidRPr="001F02FA">
              <w:rPr>
                <w:rFonts w:cs="Arial"/>
                <w:szCs w:val="24"/>
              </w:rPr>
              <w:t>/2</w:t>
            </w:r>
            <w:r>
              <w:rPr>
                <w:rFonts w:cs="Arial"/>
                <w:szCs w:val="24"/>
              </w:rPr>
              <w:t>2</w:t>
            </w:r>
          </w:p>
          <w:p w14:paraId="6B10F2F8" w14:textId="77777777" w:rsidR="00791240" w:rsidRPr="005E3A10" w:rsidRDefault="00791240" w:rsidP="0081234A">
            <w:pPr>
              <w:rPr>
                <w:rFonts w:cs="Arial"/>
                <w:szCs w:val="24"/>
              </w:rPr>
            </w:pPr>
          </w:p>
        </w:tc>
      </w:tr>
      <w:tr w:rsidR="00791240" w14:paraId="69D886DD" w14:textId="77777777" w:rsidTr="0081234A">
        <w:tc>
          <w:tcPr>
            <w:tcW w:w="3456" w:type="dxa"/>
          </w:tcPr>
          <w:p w14:paraId="0CBC996F" w14:textId="77777777" w:rsidR="00791240" w:rsidRPr="00C13A5F" w:rsidRDefault="00791240" w:rsidP="0081234A">
            <w:pPr>
              <w:pStyle w:val="Infotext"/>
              <w:spacing w:after="240"/>
              <w:rPr>
                <w:rFonts w:ascii="Arial Black" w:hAnsi="Arial Black" w:cs="Arial"/>
              </w:rPr>
            </w:pPr>
            <w:r w:rsidRPr="00C13A5F">
              <w:rPr>
                <w:rFonts w:ascii="Arial Black" w:hAnsi="Arial Black" w:cs="Arial"/>
              </w:rPr>
              <w:t>Key Decision:</w:t>
            </w:r>
          </w:p>
        </w:tc>
        <w:tc>
          <w:tcPr>
            <w:tcW w:w="5054" w:type="dxa"/>
          </w:tcPr>
          <w:p w14:paraId="2EF0E045" w14:textId="5D5A2518" w:rsidR="00791240" w:rsidRPr="005E3A10" w:rsidRDefault="00791240" w:rsidP="00791240">
            <w:pPr>
              <w:pStyle w:val="Infotext"/>
              <w:rPr>
                <w:rFonts w:cs="Arial"/>
                <w:szCs w:val="24"/>
              </w:rPr>
            </w:pPr>
            <w:r w:rsidRPr="005E3A10">
              <w:rPr>
                <w:rFonts w:cs="Arial"/>
                <w:sz w:val="24"/>
                <w:szCs w:val="24"/>
              </w:rPr>
              <w:t xml:space="preserve">Yes </w:t>
            </w:r>
          </w:p>
        </w:tc>
      </w:tr>
      <w:tr w:rsidR="00791240" w14:paraId="053F38AA" w14:textId="77777777" w:rsidTr="0081234A">
        <w:tc>
          <w:tcPr>
            <w:tcW w:w="3456" w:type="dxa"/>
          </w:tcPr>
          <w:p w14:paraId="32BAB749" w14:textId="77777777" w:rsidR="00791240" w:rsidRPr="00C13A5F" w:rsidRDefault="00791240" w:rsidP="0081234A">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42A85F5B" w14:textId="77777777" w:rsidR="00791240" w:rsidRDefault="00791240" w:rsidP="0081234A">
            <w:pPr>
              <w:pStyle w:val="Infotext"/>
              <w:rPr>
                <w:rFonts w:cs="Arial"/>
                <w:sz w:val="24"/>
                <w:szCs w:val="24"/>
              </w:rPr>
            </w:pPr>
            <w:r w:rsidRPr="00791240">
              <w:rPr>
                <w:rFonts w:cs="Arial"/>
                <w:bCs/>
                <w:sz w:val="24"/>
                <w:szCs w:val="24"/>
              </w:rPr>
              <w:t>Dawn Calvert</w:t>
            </w:r>
            <w:r>
              <w:rPr>
                <w:rFonts w:cs="Arial"/>
                <w:bCs/>
                <w:sz w:val="24"/>
                <w:szCs w:val="24"/>
              </w:rPr>
              <w:t xml:space="preserve"> - </w:t>
            </w:r>
            <w:r w:rsidRPr="00791240">
              <w:rPr>
                <w:rFonts w:cs="Arial"/>
                <w:bCs/>
                <w:sz w:val="24"/>
                <w:szCs w:val="24"/>
              </w:rPr>
              <w:t>Director of Finance and Assurance</w:t>
            </w:r>
            <w:r w:rsidRPr="00791240">
              <w:rPr>
                <w:rFonts w:cs="Arial"/>
                <w:sz w:val="24"/>
                <w:szCs w:val="24"/>
              </w:rPr>
              <w:t xml:space="preserve"> </w:t>
            </w:r>
          </w:p>
          <w:p w14:paraId="2DE354F6" w14:textId="46584052" w:rsidR="00791240" w:rsidRPr="005E3A10" w:rsidRDefault="00791240" w:rsidP="0081234A">
            <w:pPr>
              <w:pStyle w:val="Infotext"/>
              <w:rPr>
                <w:rFonts w:cs="Arial"/>
                <w:sz w:val="24"/>
                <w:szCs w:val="24"/>
              </w:rPr>
            </w:pPr>
          </w:p>
        </w:tc>
      </w:tr>
      <w:tr w:rsidR="00791240" w14:paraId="71895D6B" w14:textId="77777777" w:rsidTr="0081234A">
        <w:tc>
          <w:tcPr>
            <w:tcW w:w="3456" w:type="dxa"/>
          </w:tcPr>
          <w:p w14:paraId="656D7652" w14:textId="77777777" w:rsidR="00791240" w:rsidRPr="00C13A5F" w:rsidRDefault="00791240" w:rsidP="0081234A">
            <w:pPr>
              <w:pStyle w:val="Infotext"/>
              <w:spacing w:after="240"/>
              <w:rPr>
                <w:rFonts w:ascii="Arial Black" w:hAnsi="Arial Black"/>
              </w:rPr>
            </w:pPr>
            <w:r w:rsidRPr="00DB6C3D">
              <w:rPr>
                <w:rFonts w:ascii="Arial Black" w:hAnsi="Arial Black"/>
              </w:rPr>
              <w:t>Portfolio Holder:</w:t>
            </w:r>
          </w:p>
        </w:tc>
        <w:tc>
          <w:tcPr>
            <w:tcW w:w="5054" w:type="dxa"/>
          </w:tcPr>
          <w:p w14:paraId="2F3724BE" w14:textId="0892FECC" w:rsidR="00791240" w:rsidRPr="005E3A10" w:rsidRDefault="00791240" w:rsidP="0081234A">
            <w:pPr>
              <w:pStyle w:val="Infotext"/>
              <w:rPr>
                <w:rFonts w:cs="Arial"/>
                <w:color w:val="FF0000"/>
                <w:sz w:val="24"/>
                <w:szCs w:val="24"/>
              </w:rPr>
            </w:pPr>
            <w:r w:rsidRPr="00791240">
              <w:rPr>
                <w:rFonts w:cs="Arial"/>
                <w:sz w:val="24"/>
                <w:szCs w:val="24"/>
              </w:rPr>
              <w:t>Councillor Adam Swersky</w:t>
            </w:r>
            <w:r>
              <w:rPr>
                <w:rFonts w:cs="Arial"/>
                <w:sz w:val="24"/>
                <w:szCs w:val="24"/>
              </w:rPr>
              <w:t xml:space="preserve"> - </w:t>
            </w:r>
            <w:r w:rsidRPr="00791240">
              <w:rPr>
                <w:rFonts w:cs="Arial"/>
                <w:sz w:val="24"/>
                <w:szCs w:val="24"/>
              </w:rPr>
              <w:t>Portfolio Holder for Finance and Resources</w:t>
            </w:r>
          </w:p>
        </w:tc>
      </w:tr>
      <w:tr w:rsidR="00791240" w14:paraId="5E6EF03C" w14:textId="77777777" w:rsidTr="0081234A">
        <w:tc>
          <w:tcPr>
            <w:tcW w:w="3456" w:type="dxa"/>
          </w:tcPr>
          <w:p w14:paraId="3DD1CE41" w14:textId="77777777" w:rsidR="00791240" w:rsidRPr="00C13A5F" w:rsidRDefault="00791240" w:rsidP="0081234A">
            <w:pPr>
              <w:pStyle w:val="Infotext"/>
              <w:spacing w:after="240"/>
              <w:rPr>
                <w:rFonts w:ascii="Arial Black" w:hAnsi="Arial Black"/>
              </w:rPr>
            </w:pPr>
            <w:r w:rsidRPr="00DB6C3D">
              <w:rPr>
                <w:rFonts w:ascii="Arial Black" w:hAnsi="Arial Black"/>
              </w:rPr>
              <w:t>Exempt:</w:t>
            </w:r>
          </w:p>
        </w:tc>
        <w:tc>
          <w:tcPr>
            <w:tcW w:w="5054" w:type="dxa"/>
          </w:tcPr>
          <w:p w14:paraId="34E25B2C" w14:textId="0A458119" w:rsidR="00791240" w:rsidRPr="005E3A10" w:rsidRDefault="00791240" w:rsidP="0081234A">
            <w:pPr>
              <w:pStyle w:val="Infotext"/>
              <w:rPr>
                <w:rFonts w:cs="Arial"/>
                <w:sz w:val="24"/>
                <w:szCs w:val="24"/>
              </w:rPr>
            </w:pPr>
            <w:r w:rsidRPr="005E3A10">
              <w:rPr>
                <w:rFonts w:cs="Arial"/>
                <w:sz w:val="24"/>
                <w:szCs w:val="24"/>
              </w:rPr>
              <w:t>No</w:t>
            </w:r>
          </w:p>
          <w:p w14:paraId="45FB8D77" w14:textId="77777777" w:rsidR="00791240" w:rsidRPr="005E3A10" w:rsidRDefault="00791240" w:rsidP="00791240">
            <w:pPr>
              <w:pStyle w:val="Infotext"/>
              <w:rPr>
                <w:rFonts w:cs="Arial"/>
                <w:color w:val="FF0000"/>
                <w:sz w:val="24"/>
                <w:szCs w:val="24"/>
              </w:rPr>
            </w:pPr>
          </w:p>
        </w:tc>
      </w:tr>
      <w:tr w:rsidR="00791240" w14:paraId="5E3C8278" w14:textId="77777777" w:rsidTr="0081234A">
        <w:tc>
          <w:tcPr>
            <w:tcW w:w="3456" w:type="dxa"/>
          </w:tcPr>
          <w:p w14:paraId="61031E1D" w14:textId="77777777" w:rsidR="00791240" w:rsidRPr="00C13A5F" w:rsidRDefault="00791240" w:rsidP="0081234A">
            <w:pPr>
              <w:pStyle w:val="Infotext"/>
              <w:spacing w:after="240"/>
              <w:rPr>
                <w:rFonts w:ascii="Arial Black" w:hAnsi="Arial Black"/>
              </w:rPr>
            </w:pPr>
            <w:r w:rsidRPr="00DB6C3D">
              <w:rPr>
                <w:rFonts w:ascii="Arial Black" w:hAnsi="Arial Black"/>
              </w:rPr>
              <w:t>Decision subject to Call-in:</w:t>
            </w:r>
          </w:p>
        </w:tc>
        <w:tc>
          <w:tcPr>
            <w:tcW w:w="5054" w:type="dxa"/>
          </w:tcPr>
          <w:p w14:paraId="4FA72317" w14:textId="4B3F487D" w:rsidR="00791240" w:rsidRPr="005E3A10" w:rsidRDefault="00791240" w:rsidP="0081234A">
            <w:pPr>
              <w:pStyle w:val="Infotext"/>
              <w:rPr>
                <w:rFonts w:cs="Arial"/>
                <w:sz w:val="24"/>
                <w:szCs w:val="24"/>
              </w:rPr>
            </w:pPr>
            <w:r w:rsidRPr="005E3A10">
              <w:rPr>
                <w:rFonts w:cs="Arial"/>
                <w:sz w:val="24"/>
                <w:szCs w:val="24"/>
              </w:rPr>
              <w:t>No</w:t>
            </w:r>
            <w:r>
              <w:rPr>
                <w:rFonts w:cs="Arial"/>
                <w:sz w:val="24"/>
                <w:szCs w:val="24"/>
              </w:rPr>
              <w:t xml:space="preserve"> (reserved to Council)</w:t>
            </w:r>
          </w:p>
          <w:p w14:paraId="65FAB69D" w14:textId="77777777" w:rsidR="00791240" w:rsidRPr="005E3A10" w:rsidRDefault="00791240" w:rsidP="00791240">
            <w:pPr>
              <w:rPr>
                <w:rFonts w:cs="Arial"/>
                <w:szCs w:val="24"/>
              </w:rPr>
            </w:pPr>
          </w:p>
        </w:tc>
      </w:tr>
      <w:tr w:rsidR="00791240" w14:paraId="70EC6548" w14:textId="77777777" w:rsidTr="0081234A">
        <w:tc>
          <w:tcPr>
            <w:tcW w:w="3456" w:type="dxa"/>
          </w:tcPr>
          <w:p w14:paraId="526622D7" w14:textId="77777777" w:rsidR="00791240" w:rsidRPr="00C13A5F" w:rsidRDefault="00791240" w:rsidP="0081234A">
            <w:pPr>
              <w:pStyle w:val="Infotext"/>
              <w:spacing w:after="240"/>
              <w:rPr>
                <w:rFonts w:ascii="Arial Black" w:hAnsi="Arial Black" w:cs="Arial"/>
              </w:rPr>
            </w:pPr>
            <w:r>
              <w:rPr>
                <w:rFonts w:ascii="Arial Black" w:hAnsi="Arial Black" w:cs="Arial"/>
              </w:rPr>
              <w:t>Wards affected:</w:t>
            </w:r>
          </w:p>
        </w:tc>
        <w:tc>
          <w:tcPr>
            <w:tcW w:w="5054" w:type="dxa"/>
          </w:tcPr>
          <w:p w14:paraId="2169BFB6" w14:textId="5DF847CC" w:rsidR="00791240" w:rsidRPr="00307F76" w:rsidRDefault="00791240" w:rsidP="0081234A">
            <w:pPr>
              <w:rPr>
                <w:rFonts w:cs="Arial"/>
                <w:b/>
                <w:color w:val="FF0000"/>
                <w:szCs w:val="24"/>
              </w:rPr>
            </w:pPr>
            <w:r>
              <w:rPr>
                <w:rFonts w:cs="Arial"/>
                <w:szCs w:val="24"/>
              </w:rPr>
              <w:t>All</w:t>
            </w:r>
          </w:p>
        </w:tc>
      </w:tr>
      <w:tr w:rsidR="00791240" w14:paraId="66FB7960" w14:textId="77777777" w:rsidTr="0081234A">
        <w:tc>
          <w:tcPr>
            <w:tcW w:w="3456" w:type="dxa"/>
          </w:tcPr>
          <w:p w14:paraId="37F675E4" w14:textId="77777777" w:rsidR="00791240" w:rsidRPr="00C13A5F" w:rsidRDefault="00791240" w:rsidP="0081234A">
            <w:pPr>
              <w:pStyle w:val="Infotext"/>
              <w:spacing w:after="240"/>
              <w:rPr>
                <w:rFonts w:ascii="Arial Black" w:hAnsi="Arial Black" w:cs="Arial"/>
              </w:rPr>
            </w:pPr>
            <w:r w:rsidRPr="00C13A5F">
              <w:rPr>
                <w:rFonts w:ascii="Arial Black" w:hAnsi="Arial Black" w:cs="Arial"/>
              </w:rPr>
              <w:t>Enclosures:</w:t>
            </w:r>
          </w:p>
        </w:tc>
        <w:tc>
          <w:tcPr>
            <w:tcW w:w="5054" w:type="dxa"/>
          </w:tcPr>
          <w:p w14:paraId="73AE6CED" w14:textId="77777777" w:rsidR="00791240" w:rsidRDefault="00791240" w:rsidP="00791240">
            <w:pPr>
              <w:rPr>
                <w:szCs w:val="24"/>
              </w:rPr>
            </w:pPr>
            <w:r w:rsidRPr="001F02FA">
              <w:rPr>
                <w:b/>
                <w:bCs/>
                <w:szCs w:val="24"/>
              </w:rPr>
              <w:t>Appendix A</w:t>
            </w:r>
            <w:r w:rsidRPr="001F02FA">
              <w:rPr>
                <w:szCs w:val="24"/>
              </w:rPr>
              <w:t xml:space="preserve"> - Legislation and Regulations Impacting on Treasury Management </w:t>
            </w:r>
            <w:r w:rsidRPr="001F02FA">
              <w:rPr>
                <w:b/>
                <w:bCs/>
                <w:szCs w:val="24"/>
              </w:rPr>
              <w:t>Appendix B</w:t>
            </w:r>
            <w:r w:rsidRPr="001F02FA">
              <w:rPr>
                <w:szCs w:val="24"/>
              </w:rPr>
              <w:t xml:space="preserve"> - Treasury Management Delegations and Responsibilities </w:t>
            </w:r>
          </w:p>
          <w:p w14:paraId="0595B73D" w14:textId="77777777" w:rsidR="00791240" w:rsidRDefault="00791240" w:rsidP="00791240">
            <w:pPr>
              <w:rPr>
                <w:szCs w:val="24"/>
              </w:rPr>
            </w:pPr>
            <w:r w:rsidRPr="001F02FA">
              <w:rPr>
                <w:b/>
                <w:bCs/>
                <w:szCs w:val="24"/>
              </w:rPr>
              <w:t>Appendix C</w:t>
            </w:r>
            <w:r w:rsidRPr="001F02FA">
              <w:rPr>
                <w:szCs w:val="24"/>
              </w:rPr>
              <w:t xml:space="preserve"> - Minimum Revenue Provision (MRP) Policy Statement </w:t>
            </w:r>
          </w:p>
          <w:p w14:paraId="5BA34B71" w14:textId="77777777" w:rsidR="00791240" w:rsidRDefault="00791240" w:rsidP="00791240">
            <w:pPr>
              <w:rPr>
                <w:szCs w:val="24"/>
              </w:rPr>
            </w:pPr>
            <w:r w:rsidRPr="001F02FA">
              <w:rPr>
                <w:b/>
                <w:bCs/>
                <w:szCs w:val="24"/>
              </w:rPr>
              <w:t>Appendix D</w:t>
            </w:r>
            <w:r w:rsidRPr="001F02FA">
              <w:rPr>
                <w:szCs w:val="24"/>
              </w:rPr>
              <w:t xml:space="preserve"> - Interest Rate Forecasts 2020/23 </w:t>
            </w:r>
          </w:p>
          <w:p w14:paraId="2292154E" w14:textId="77777777" w:rsidR="00791240" w:rsidRDefault="00791240" w:rsidP="00791240">
            <w:pPr>
              <w:rPr>
                <w:szCs w:val="24"/>
              </w:rPr>
            </w:pPr>
            <w:r w:rsidRPr="001F02FA">
              <w:rPr>
                <w:b/>
                <w:bCs/>
                <w:szCs w:val="24"/>
              </w:rPr>
              <w:t>Appendix E</w:t>
            </w:r>
            <w:r w:rsidRPr="001F02FA">
              <w:rPr>
                <w:szCs w:val="24"/>
              </w:rPr>
              <w:t xml:space="preserve"> - Economic Background </w:t>
            </w:r>
            <w:r w:rsidRPr="001F02FA">
              <w:rPr>
                <w:b/>
                <w:bCs/>
                <w:szCs w:val="24"/>
              </w:rPr>
              <w:t>Appendix F</w:t>
            </w:r>
            <w:r w:rsidRPr="001F02FA">
              <w:rPr>
                <w:szCs w:val="24"/>
              </w:rPr>
              <w:t xml:space="preserve"> </w:t>
            </w:r>
            <w:r>
              <w:rPr>
                <w:szCs w:val="24"/>
              </w:rPr>
              <w:t>-</w:t>
            </w:r>
            <w:r w:rsidRPr="001F02FA">
              <w:rPr>
                <w:szCs w:val="24"/>
              </w:rPr>
              <w:t xml:space="preserve"> Counterparties </w:t>
            </w:r>
          </w:p>
          <w:p w14:paraId="59481059" w14:textId="1879975A" w:rsidR="00791240" w:rsidRDefault="00791240" w:rsidP="00791240">
            <w:pPr>
              <w:rPr>
                <w:szCs w:val="24"/>
              </w:rPr>
            </w:pPr>
            <w:r w:rsidRPr="001F02FA">
              <w:rPr>
                <w:b/>
                <w:bCs/>
                <w:szCs w:val="24"/>
              </w:rPr>
              <w:t xml:space="preserve">Appendix </w:t>
            </w:r>
            <w:r>
              <w:rPr>
                <w:b/>
                <w:bCs/>
                <w:szCs w:val="24"/>
              </w:rPr>
              <w:t>G</w:t>
            </w:r>
            <w:r w:rsidRPr="001F02FA">
              <w:rPr>
                <w:szCs w:val="24"/>
              </w:rPr>
              <w:t xml:space="preserve"> - Capital Strategy 2020/21 </w:t>
            </w:r>
            <w:r w:rsidRPr="001F02FA">
              <w:rPr>
                <w:b/>
                <w:bCs/>
                <w:szCs w:val="24"/>
              </w:rPr>
              <w:t xml:space="preserve">Appendix </w:t>
            </w:r>
            <w:r>
              <w:rPr>
                <w:b/>
                <w:bCs/>
                <w:szCs w:val="24"/>
              </w:rPr>
              <w:t>H</w:t>
            </w:r>
            <w:r w:rsidRPr="001F02FA">
              <w:rPr>
                <w:szCs w:val="24"/>
              </w:rPr>
              <w:t xml:space="preserve"> </w:t>
            </w:r>
            <w:r>
              <w:rPr>
                <w:szCs w:val="24"/>
              </w:rPr>
              <w:t>-</w:t>
            </w:r>
            <w:r w:rsidRPr="001F02FA">
              <w:rPr>
                <w:szCs w:val="24"/>
              </w:rPr>
              <w:t xml:space="preserve"> Glossary</w:t>
            </w:r>
          </w:p>
          <w:p w14:paraId="2303E1D5" w14:textId="64DC54CF" w:rsidR="00791240" w:rsidRPr="005E3A10" w:rsidRDefault="00791240" w:rsidP="0081234A">
            <w:pPr>
              <w:pStyle w:val="Infotext"/>
              <w:rPr>
                <w:color w:val="FF0000"/>
                <w:sz w:val="24"/>
                <w:szCs w:val="24"/>
              </w:rPr>
            </w:pPr>
          </w:p>
        </w:tc>
      </w:tr>
    </w:tbl>
    <w:p w14:paraId="0B789E66" w14:textId="586C3F46" w:rsidR="00791240" w:rsidRDefault="00791240"/>
    <w:p w14:paraId="7143D801" w14:textId="77777777" w:rsidR="008E41B0" w:rsidRDefault="008E41B0"/>
    <w:tbl>
      <w:tblPr>
        <w:tblW w:w="0" w:type="auto"/>
        <w:tblLook w:val="0000" w:firstRow="0" w:lastRow="0" w:firstColumn="0" w:lastColumn="0" w:noHBand="0" w:noVBand="0"/>
      </w:tblPr>
      <w:tblGrid>
        <w:gridCol w:w="3386"/>
        <w:gridCol w:w="4908"/>
        <w:gridCol w:w="15"/>
      </w:tblGrid>
      <w:tr w:rsidR="009461A4" w14:paraId="07260ED6" w14:textId="77777777" w:rsidTr="00791240">
        <w:trPr>
          <w:gridAfter w:val="1"/>
          <w:wAfter w:w="15" w:type="dxa"/>
        </w:trPr>
        <w:tc>
          <w:tcPr>
            <w:tcW w:w="3386" w:type="dxa"/>
          </w:tcPr>
          <w:p w14:paraId="088B0306" w14:textId="77777777" w:rsidR="009461A4" w:rsidRPr="00C13A5F" w:rsidRDefault="009461A4" w:rsidP="00A53B04">
            <w:pPr>
              <w:pStyle w:val="Infotext"/>
              <w:rPr>
                <w:rFonts w:ascii="Arial Black" w:hAnsi="Arial Black" w:cs="Arial"/>
              </w:rPr>
            </w:pPr>
          </w:p>
        </w:tc>
        <w:tc>
          <w:tcPr>
            <w:tcW w:w="4908" w:type="dxa"/>
          </w:tcPr>
          <w:p w14:paraId="57FFB094" w14:textId="7CD17B55" w:rsidR="009461A4" w:rsidRPr="00105BD0" w:rsidRDefault="009461A4" w:rsidP="006519ED">
            <w:pPr>
              <w:rPr>
                <w:rFonts w:cs="Arial"/>
              </w:rPr>
            </w:pPr>
          </w:p>
        </w:tc>
      </w:tr>
      <w:tr w:rsidR="009461A4" w14:paraId="0C979DA2" w14:textId="77777777" w:rsidTr="00791240">
        <w:trPr>
          <w:gridAfter w:val="1"/>
          <w:wAfter w:w="15" w:type="dxa"/>
        </w:trPr>
        <w:tc>
          <w:tcPr>
            <w:tcW w:w="3386" w:type="dxa"/>
          </w:tcPr>
          <w:p w14:paraId="475A9EAE" w14:textId="77777777" w:rsidR="009461A4" w:rsidRPr="00C13A5F" w:rsidRDefault="009461A4" w:rsidP="00A53B04">
            <w:pPr>
              <w:pStyle w:val="Infotext"/>
              <w:rPr>
                <w:rFonts w:ascii="Arial Black" w:hAnsi="Arial Black" w:cs="Arial"/>
              </w:rPr>
            </w:pPr>
          </w:p>
        </w:tc>
        <w:tc>
          <w:tcPr>
            <w:tcW w:w="4908" w:type="dxa"/>
          </w:tcPr>
          <w:p w14:paraId="7A86487B" w14:textId="58CE8C33" w:rsidR="00710EAC" w:rsidRPr="00710EAC" w:rsidRDefault="00710EAC" w:rsidP="006519ED">
            <w:pPr>
              <w:rPr>
                <w:bCs/>
                <w:szCs w:val="24"/>
              </w:rPr>
            </w:pPr>
          </w:p>
        </w:tc>
      </w:tr>
      <w:tr w:rsidR="009461A4" w14:paraId="6E8FF993" w14:textId="77777777" w:rsidTr="00791240">
        <w:trPr>
          <w:gridAfter w:val="1"/>
          <w:wAfter w:w="15" w:type="dxa"/>
        </w:trPr>
        <w:tc>
          <w:tcPr>
            <w:tcW w:w="3386" w:type="dxa"/>
          </w:tcPr>
          <w:p w14:paraId="200606B4" w14:textId="77777777" w:rsidR="009461A4" w:rsidRPr="00C13A5F" w:rsidRDefault="009461A4" w:rsidP="00A53B04">
            <w:pPr>
              <w:pStyle w:val="BodyText"/>
              <w:rPr>
                <w:rFonts w:ascii="Arial Black" w:hAnsi="Arial Black"/>
              </w:rPr>
            </w:pPr>
          </w:p>
        </w:tc>
        <w:tc>
          <w:tcPr>
            <w:tcW w:w="4908" w:type="dxa"/>
          </w:tcPr>
          <w:p w14:paraId="223BE369" w14:textId="32501858" w:rsidR="009461A4" w:rsidRPr="00105BD0" w:rsidRDefault="009461A4" w:rsidP="00D577BA">
            <w:pPr>
              <w:rPr>
                <w:rFonts w:cs="Arial"/>
              </w:rPr>
            </w:pPr>
          </w:p>
        </w:tc>
      </w:tr>
      <w:tr w:rsidR="009461A4" w14:paraId="5034D1C1" w14:textId="77777777" w:rsidTr="00791240">
        <w:trPr>
          <w:gridAfter w:val="1"/>
          <w:wAfter w:w="15" w:type="dxa"/>
        </w:trPr>
        <w:tc>
          <w:tcPr>
            <w:tcW w:w="3386" w:type="dxa"/>
          </w:tcPr>
          <w:p w14:paraId="094BA921" w14:textId="77777777" w:rsidR="009461A4" w:rsidRPr="00C13A5F" w:rsidRDefault="009461A4" w:rsidP="00A53B04">
            <w:pPr>
              <w:pStyle w:val="Infotext"/>
              <w:rPr>
                <w:rFonts w:ascii="Arial Black" w:hAnsi="Arial Black" w:cs="Arial"/>
              </w:rPr>
            </w:pPr>
          </w:p>
        </w:tc>
        <w:tc>
          <w:tcPr>
            <w:tcW w:w="4908" w:type="dxa"/>
          </w:tcPr>
          <w:p w14:paraId="36A417E1" w14:textId="45C2C8A0" w:rsidR="009461A4" w:rsidRPr="00105BD0" w:rsidRDefault="009461A4" w:rsidP="006519ED">
            <w:pPr>
              <w:rPr>
                <w:rFonts w:cs="Arial"/>
              </w:rPr>
            </w:pPr>
          </w:p>
        </w:tc>
      </w:tr>
      <w:tr w:rsidR="009461A4" w14:paraId="5E4BD16D" w14:textId="77777777" w:rsidTr="00791240">
        <w:trPr>
          <w:gridAfter w:val="1"/>
          <w:wAfter w:w="15" w:type="dxa"/>
        </w:trPr>
        <w:tc>
          <w:tcPr>
            <w:tcW w:w="3386" w:type="dxa"/>
          </w:tcPr>
          <w:p w14:paraId="11FF7C39" w14:textId="77777777" w:rsidR="009461A4" w:rsidRPr="00C13A5F" w:rsidRDefault="009461A4" w:rsidP="00A53B04">
            <w:pPr>
              <w:pStyle w:val="Infotext"/>
              <w:rPr>
                <w:rFonts w:ascii="Arial Black" w:hAnsi="Arial Black" w:cs="Arial"/>
              </w:rPr>
            </w:pPr>
          </w:p>
        </w:tc>
        <w:tc>
          <w:tcPr>
            <w:tcW w:w="4908" w:type="dxa"/>
          </w:tcPr>
          <w:p w14:paraId="114D51E7" w14:textId="5855BA0D" w:rsidR="00F2433C" w:rsidRPr="00023AE5" w:rsidRDefault="00F2433C" w:rsidP="00791240">
            <w:pPr>
              <w:rPr>
                <w:szCs w:val="24"/>
              </w:rPr>
            </w:pPr>
          </w:p>
        </w:tc>
      </w:tr>
      <w:tr w:rsidR="00333FAA" w14:paraId="495D6F13" w14:textId="77777777" w:rsidTr="00791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09" w:type="dxa"/>
            <w:gridSpan w:val="3"/>
            <w:tcBorders>
              <w:top w:val="nil"/>
              <w:left w:val="nil"/>
              <w:right w:val="nil"/>
            </w:tcBorders>
          </w:tcPr>
          <w:p w14:paraId="1DAE1984" w14:textId="77777777" w:rsidR="00333FAA" w:rsidRDefault="00333FAA" w:rsidP="00A53B04">
            <w:pPr>
              <w:pStyle w:val="Heading1"/>
            </w:pPr>
            <w:r>
              <w:t>Section 1 – Summary and Recommendations</w:t>
            </w:r>
          </w:p>
          <w:p w14:paraId="3B15AB67" w14:textId="77777777" w:rsidR="00333FAA" w:rsidRDefault="00333FAA" w:rsidP="00A53B04"/>
        </w:tc>
      </w:tr>
      <w:tr w:rsidR="00333FAA" w14:paraId="2EC5310F" w14:textId="77777777" w:rsidTr="00791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09" w:type="dxa"/>
            <w:gridSpan w:val="3"/>
          </w:tcPr>
          <w:p w14:paraId="6A2B1A2F" w14:textId="0A338B8B" w:rsidR="00B25A95" w:rsidRDefault="00B25A95" w:rsidP="000D25EF">
            <w:pPr>
              <w:jc w:val="both"/>
            </w:pPr>
            <w:r w:rsidRPr="00B25A95">
              <w:t xml:space="preserve">This report sets out the Council’s Annual Treasury Management Strategy Statement including Prudential Indicators, Minimum Revenue Provision Policy Statement the Annual Investment Strategy and the </w:t>
            </w:r>
            <w:r w:rsidRPr="002D7939">
              <w:rPr>
                <w:rFonts w:cs="Arial"/>
                <w:szCs w:val="24"/>
              </w:rPr>
              <w:t>Annual Capital Strategy</w:t>
            </w:r>
            <w:r w:rsidRPr="001F02FA">
              <w:rPr>
                <w:rFonts w:cs="Arial"/>
                <w:color w:val="FF0000"/>
                <w:szCs w:val="24"/>
              </w:rPr>
              <w:t xml:space="preserve"> </w:t>
            </w:r>
            <w:r w:rsidRPr="00B25A95">
              <w:t>for 202</w:t>
            </w:r>
            <w:r>
              <w:t>1</w:t>
            </w:r>
            <w:r w:rsidRPr="00B25A95">
              <w:t>/2</w:t>
            </w:r>
            <w:r>
              <w:t>2</w:t>
            </w:r>
            <w:r w:rsidRPr="00B25A95">
              <w:t xml:space="preserve">. </w:t>
            </w:r>
          </w:p>
          <w:p w14:paraId="7F279D2B" w14:textId="77777777" w:rsidR="00B25A95" w:rsidRDefault="00B25A95" w:rsidP="000D25EF">
            <w:pPr>
              <w:jc w:val="both"/>
            </w:pPr>
          </w:p>
          <w:p w14:paraId="70FA5757" w14:textId="7BD3DEA9" w:rsidR="000D25EF" w:rsidRPr="007E2266" w:rsidRDefault="000D25EF" w:rsidP="000D25EF">
            <w:pPr>
              <w:jc w:val="both"/>
              <w:rPr>
                <w:rFonts w:ascii="Arial Black" w:hAnsi="Arial Black"/>
                <w:sz w:val="32"/>
              </w:rPr>
            </w:pPr>
            <w:r w:rsidRPr="0081234A">
              <w:rPr>
                <w:rFonts w:cs="Arial"/>
                <w:b/>
                <w:bCs/>
                <w:sz w:val="28"/>
                <w:szCs w:val="28"/>
              </w:rPr>
              <w:t>Recommendation</w:t>
            </w:r>
            <w:r w:rsidR="0081234A">
              <w:rPr>
                <w:rFonts w:cs="Arial"/>
                <w:b/>
                <w:bCs/>
                <w:sz w:val="28"/>
                <w:szCs w:val="28"/>
              </w:rPr>
              <w:t>:</w:t>
            </w:r>
          </w:p>
          <w:p w14:paraId="2E50751B" w14:textId="05BC07C0" w:rsidR="0081234A" w:rsidRDefault="00B25A95" w:rsidP="00B25A95">
            <w:pPr>
              <w:jc w:val="both"/>
            </w:pPr>
            <w:r>
              <w:t>Cabinet is asked</w:t>
            </w:r>
            <w:r w:rsidR="00887A59">
              <w:t xml:space="preserve"> to:</w:t>
            </w:r>
          </w:p>
          <w:p w14:paraId="48FFBEF5" w14:textId="77777777" w:rsidR="00887A59" w:rsidRDefault="00887A59" w:rsidP="00B25A95">
            <w:pPr>
              <w:jc w:val="both"/>
            </w:pPr>
          </w:p>
          <w:p w14:paraId="327DD1A2" w14:textId="3BE6654B" w:rsidR="00B25A95" w:rsidRDefault="00B25A95" w:rsidP="0081234A">
            <w:pPr>
              <w:pStyle w:val="ListParagraph"/>
              <w:numPr>
                <w:ilvl w:val="0"/>
                <w:numId w:val="71"/>
              </w:numPr>
              <w:jc w:val="both"/>
            </w:pPr>
            <w:r>
              <w:t xml:space="preserve"> </w:t>
            </w:r>
            <w:r w:rsidR="00887A59">
              <w:t>R</w:t>
            </w:r>
            <w:r>
              <w:t>ecommend to Council that the Treasury Management Strategy Statement for 202</w:t>
            </w:r>
            <w:r w:rsidR="00BF7865">
              <w:t>1</w:t>
            </w:r>
            <w:r>
              <w:t>/2</w:t>
            </w:r>
            <w:r w:rsidR="00BF7865">
              <w:t>2</w:t>
            </w:r>
            <w:r>
              <w:t xml:space="preserve"> </w:t>
            </w:r>
            <w:r w:rsidR="00887A59">
              <w:t xml:space="preserve">be approved, </w:t>
            </w:r>
            <w:r>
              <w:t xml:space="preserve">including: </w:t>
            </w:r>
          </w:p>
          <w:p w14:paraId="1FDFF8B7" w14:textId="77777777" w:rsidR="00B25A95" w:rsidRDefault="00B25A95" w:rsidP="00B25A95">
            <w:pPr>
              <w:jc w:val="both"/>
            </w:pPr>
            <w:r>
              <w:t xml:space="preserve"> </w:t>
            </w:r>
          </w:p>
          <w:p w14:paraId="19667AAD" w14:textId="280BC9C7" w:rsidR="00B25A95" w:rsidRDefault="00B25A95" w:rsidP="004E1FB4">
            <w:pPr>
              <w:pStyle w:val="ListParagraph"/>
              <w:numPr>
                <w:ilvl w:val="0"/>
                <w:numId w:val="3"/>
              </w:numPr>
              <w:jc w:val="both"/>
            </w:pPr>
            <w:r>
              <w:t>Prudential Indicators for 202</w:t>
            </w:r>
            <w:r w:rsidR="00BF7865">
              <w:t>1</w:t>
            </w:r>
            <w:r>
              <w:t>/2</w:t>
            </w:r>
            <w:r w:rsidR="00BF7865">
              <w:t>2</w:t>
            </w:r>
          </w:p>
          <w:p w14:paraId="0A37F7B6" w14:textId="78558E25" w:rsidR="00B25A95" w:rsidRDefault="00B25A95" w:rsidP="004E1FB4">
            <w:pPr>
              <w:pStyle w:val="ListParagraph"/>
              <w:numPr>
                <w:ilvl w:val="0"/>
                <w:numId w:val="3"/>
              </w:numPr>
              <w:jc w:val="both"/>
            </w:pPr>
            <w:r>
              <w:t>Minimum Revenue Provision Policy Statement for 202</w:t>
            </w:r>
            <w:r w:rsidR="00BF7865">
              <w:t>1</w:t>
            </w:r>
            <w:r>
              <w:t>/2</w:t>
            </w:r>
            <w:r w:rsidR="00BF7865">
              <w:t>2</w:t>
            </w:r>
            <w:r>
              <w:t xml:space="preserve">, </w:t>
            </w:r>
            <w:r w:rsidRPr="002D7939">
              <w:t xml:space="preserve">(see para </w:t>
            </w:r>
            <w:r w:rsidR="005F1E3E" w:rsidRPr="002D7939">
              <w:t>2.10 and Appendix C</w:t>
            </w:r>
            <w:r w:rsidRPr="002D7939">
              <w:t>)</w:t>
            </w:r>
            <w:r>
              <w:t xml:space="preserve">  </w:t>
            </w:r>
          </w:p>
          <w:p w14:paraId="6E55352E" w14:textId="708DA0EA" w:rsidR="00B25A95" w:rsidRDefault="00B25A95" w:rsidP="004E1FB4">
            <w:pPr>
              <w:pStyle w:val="ListParagraph"/>
              <w:numPr>
                <w:ilvl w:val="0"/>
                <w:numId w:val="3"/>
              </w:numPr>
              <w:jc w:val="both"/>
            </w:pPr>
            <w:r>
              <w:t>Annual Investment Strategy for 202</w:t>
            </w:r>
            <w:r w:rsidR="00BF7865">
              <w:t>1</w:t>
            </w:r>
            <w:r>
              <w:t>/2</w:t>
            </w:r>
            <w:r w:rsidR="00BF7865">
              <w:t>2</w:t>
            </w:r>
            <w:r>
              <w:t xml:space="preserve"> </w:t>
            </w:r>
          </w:p>
          <w:p w14:paraId="55E62876" w14:textId="77777777" w:rsidR="00B25A95" w:rsidRDefault="00B25A95" w:rsidP="00B25A95">
            <w:pPr>
              <w:jc w:val="both"/>
            </w:pPr>
            <w:r>
              <w:t xml:space="preserve"> </w:t>
            </w:r>
          </w:p>
          <w:p w14:paraId="79AB0F5B" w14:textId="477FC109" w:rsidR="00B25A95" w:rsidRDefault="00B25A95" w:rsidP="0081234A">
            <w:pPr>
              <w:pStyle w:val="ListParagraph"/>
              <w:numPr>
                <w:ilvl w:val="0"/>
                <w:numId w:val="71"/>
              </w:numPr>
              <w:jc w:val="both"/>
            </w:pPr>
            <w:r>
              <w:t xml:space="preserve"> </w:t>
            </w:r>
            <w:r w:rsidR="00887A59">
              <w:t>R</w:t>
            </w:r>
            <w:r>
              <w:t xml:space="preserve">ecommend to Council that the </w:t>
            </w:r>
            <w:r w:rsidRPr="0081234A">
              <w:rPr>
                <w:rFonts w:cs="Arial"/>
                <w:szCs w:val="24"/>
              </w:rPr>
              <w:t xml:space="preserve">Annual Capital Strategy </w:t>
            </w:r>
            <w:r w:rsidRPr="002D7939">
              <w:t xml:space="preserve">(Appendix </w:t>
            </w:r>
            <w:r w:rsidR="005F1E3E" w:rsidRPr="002D7939">
              <w:t>G</w:t>
            </w:r>
            <w:r>
              <w:t>)</w:t>
            </w:r>
            <w:r w:rsidR="00887A59">
              <w:t xml:space="preserve"> be approved.</w:t>
            </w:r>
          </w:p>
          <w:p w14:paraId="6B69E963" w14:textId="77777777" w:rsidR="00B25A95" w:rsidRDefault="00B25A95" w:rsidP="00B25A95">
            <w:pPr>
              <w:jc w:val="both"/>
            </w:pPr>
          </w:p>
          <w:p w14:paraId="029A95CB" w14:textId="38E32F87" w:rsidR="00B25A95" w:rsidRDefault="0081234A" w:rsidP="00B25A95">
            <w:pPr>
              <w:jc w:val="both"/>
              <w:rPr>
                <w:rFonts w:cs="Arial"/>
                <w:lang w:val="en-US"/>
              </w:rPr>
            </w:pPr>
            <w:r w:rsidRPr="0081234A">
              <w:rPr>
                <w:rFonts w:cs="Arial"/>
                <w:b/>
                <w:bCs/>
                <w:sz w:val="28"/>
                <w:szCs w:val="28"/>
              </w:rPr>
              <w:t>Reason: (for recommendations)</w:t>
            </w:r>
            <w:r>
              <w:rPr>
                <w:rFonts w:cs="Arial"/>
                <w:b/>
                <w:bCs/>
                <w:sz w:val="28"/>
                <w:szCs w:val="28"/>
              </w:rPr>
              <w:t xml:space="preserve">: </w:t>
            </w:r>
            <w:r w:rsidRPr="0081234A">
              <w:rPr>
                <w:rFonts w:cs="Arial"/>
                <w:lang w:val="en-US"/>
              </w:rPr>
              <w:t>To</w:t>
            </w:r>
            <w:r>
              <w:rPr>
                <w:rFonts w:cs="Arial"/>
                <w:b/>
                <w:bCs/>
                <w:sz w:val="28"/>
                <w:szCs w:val="28"/>
              </w:rPr>
              <w:t xml:space="preserve"> </w:t>
            </w:r>
            <w:r w:rsidR="000D25EF" w:rsidRPr="007E2266">
              <w:rPr>
                <w:rFonts w:cs="Arial"/>
                <w:lang w:val="en-US"/>
              </w:rPr>
              <w:t xml:space="preserve">promote effective financial management </w:t>
            </w:r>
            <w:r w:rsidR="00B25A95">
              <w:rPr>
                <w:rFonts w:cs="Arial"/>
                <w:lang w:val="en-US"/>
              </w:rPr>
              <w:t>relating to the Authority’s borrowing and investment powers</w:t>
            </w:r>
            <w:r w:rsidR="00723C6A">
              <w:rPr>
                <w:rFonts w:cs="Arial"/>
                <w:lang w:val="en-US"/>
              </w:rPr>
              <w:t xml:space="preserve"> contained</w:t>
            </w:r>
            <w:r w:rsidR="00B25A95">
              <w:rPr>
                <w:rFonts w:cs="Arial"/>
                <w:lang w:val="en-US"/>
              </w:rPr>
              <w:t xml:space="preserve"> in the Local Government Act 2003, </w:t>
            </w:r>
            <w:r w:rsidR="00223464">
              <w:rPr>
                <w:rFonts w:cs="Arial"/>
                <w:lang w:val="en-US"/>
              </w:rPr>
              <w:t xml:space="preserve">and supporting </w:t>
            </w:r>
            <w:r w:rsidR="00B25A95">
              <w:rPr>
                <w:rFonts w:cs="Arial"/>
                <w:lang w:val="en-US"/>
              </w:rPr>
              <w:t xml:space="preserve">regulations and guidance </w:t>
            </w:r>
            <w:r w:rsidR="00223464">
              <w:rPr>
                <w:rFonts w:cs="Arial"/>
                <w:lang w:val="en-US"/>
              </w:rPr>
              <w:t>detailed below</w:t>
            </w:r>
            <w:r w:rsidR="00B25A95">
              <w:rPr>
                <w:rFonts w:cs="Arial"/>
                <w:lang w:val="en-US"/>
              </w:rPr>
              <w:t>:</w:t>
            </w:r>
          </w:p>
          <w:p w14:paraId="4C2D7B69" w14:textId="7071BBDE" w:rsidR="00B25A95" w:rsidRDefault="0081234A" w:rsidP="004E1FB4">
            <w:pPr>
              <w:pStyle w:val="ListParagraph"/>
              <w:numPr>
                <w:ilvl w:val="0"/>
                <w:numId w:val="4"/>
              </w:numPr>
              <w:jc w:val="both"/>
              <w:rPr>
                <w:rFonts w:cs="Arial"/>
                <w:lang w:val="en-US"/>
              </w:rPr>
            </w:pPr>
            <w:r w:rsidRPr="00B25A95">
              <w:rPr>
                <w:rFonts w:cs="Arial"/>
                <w:lang w:val="en-US"/>
              </w:rPr>
              <w:t>the Local</w:t>
            </w:r>
            <w:r w:rsidR="00B25A95" w:rsidRPr="00B25A95">
              <w:rPr>
                <w:rFonts w:cs="Arial"/>
                <w:lang w:val="en-US"/>
              </w:rPr>
              <w:t xml:space="preserve"> </w:t>
            </w:r>
            <w:r w:rsidR="000D25EF" w:rsidRPr="00B25A95">
              <w:rPr>
                <w:rFonts w:cs="Arial"/>
                <w:lang w:val="en-US"/>
              </w:rPr>
              <w:t>Authorities (Capital Finance and Accounting) Regulations</w:t>
            </w:r>
            <w:r w:rsidR="002D7939">
              <w:rPr>
                <w:rFonts w:cs="Arial"/>
                <w:lang w:val="en-US"/>
              </w:rPr>
              <w:t xml:space="preserve"> 2003 (as amended)</w:t>
            </w:r>
            <w:r w:rsidR="000D25EF" w:rsidRPr="00B25A95">
              <w:rPr>
                <w:rFonts w:cs="Arial"/>
                <w:lang w:val="en-US"/>
              </w:rPr>
              <w:t>,</w:t>
            </w:r>
          </w:p>
          <w:p w14:paraId="6EFCB9A9" w14:textId="0FD6B61C" w:rsidR="00B25A95" w:rsidRDefault="00B25A95" w:rsidP="004E1FB4">
            <w:pPr>
              <w:pStyle w:val="ListParagraph"/>
              <w:numPr>
                <w:ilvl w:val="0"/>
                <w:numId w:val="4"/>
              </w:numPr>
              <w:jc w:val="both"/>
              <w:rPr>
                <w:rFonts w:cs="Arial"/>
                <w:lang w:val="en-US"/>
              </w:rPr>
            </w:pPr>
            <w:r w:rsidRPr="00B25A95">
              <w:rPr>
                <w:rFonts w:cs="Arial"/>
                <w:lang w:val="en-US"/>
              </w:rPr>
              <w:t>CIPFA Prudential Code and Treasury Management Code of Practice</w:t>
            </w:r>
            <w:r w:rsidR="002D7939">
              <w:rPr>
                <w:rFonts w:cs="Arial"/>
                <w:lang w:val="en-US"/>
              </w:rPr>
              <w:t xml:space="preserve"> 2017</w:t>
            </w:r>
          </w:p>
          <w:p w14:paraId="215ACAE8" w14:textId="32B750C9" w:rsidR="000D25EF" w:rsidRPr="00B25A95" w:rsidRDefault="00B25A95" w:rsidP="004E1FB4">
            <w:pPr>
              <w:pStyle w:val="ListParagraph"/>
              <w:numPr>
                <w:ilvl w:val="0"/>
                <w:numId w:val="4"/>
              </w:numPr>
              <w:jc w:val="both"/>
              <w:rPr>
                <w:rFonts w:cs="Arial"/>
                <w:lang w:val="en-US"/>
              </w:rPr>
            </w:pPr>
            <w:r>
              <w:rPr>
                <w:rFonts w:cs="Arial"/>
                <w:lang w:val="en-US"/>
              </w:rPr>
              <w:t xml:space="preserve">MHCLG </w:t>
            </w:r>
            <w:r w:rsidRPr="00B25A95">
              <w:rPr>
                <w:rFonts w:cs="Arial"/>
                <w:lang w:val="en-US"/>
              </w:rPr>
              <w:t>Investment and MRP Guidance</w:t>
            </w:r>
            <w:r w:rsidR="002D7939">
              <w:rPr>
                <w:rFonts w:cs="Arial"/>
                <w:lang w:val="en-US"/>
              </w:rPr>
              <w:t xml:space="preserve"> 2018</w:t>
            </w:r>
          </w:p>
          <w:p w14:paraId="7503D311" w14:textId="6FA3EF95" w:rsidR="00333FAA" w:rsidRPr="00723C6A" w:rsidRDefault="00333FAA" w:rsidP="00723C6A">
            <w:pPr>
              <w:jc w:val="both"/>
              <w:rPr>
                <w:rFonts w:cs="Arial"/>
              </w:rPr>
            </w:pPr>
          </w:p>
        </w:tc>
      </w:tr>
    </w:tbl>
    <w:p w14:paraId="4EE04E35" w14:textId="77777777" w:rsidR="0036201C" w:rsidRPr="0036201C" w:rsidRDefault="0036201C" w:rsidP="0036201C"/>
    <w:p w14:paraId="0E253374" w14:textId="77777777" w:rsidR="00333FAA" w:rsidRDefault="00333FAA" w:rsidP="00333FAA">
      <w:pPr>
        <w:pStyle w:val="Heading1"/>
      </w:pPr>
      <w:r>
        <w:t>Section 2 – Report</w:t>
      </w:r>
    </w:p>
    <w:p w14:paraId="4433A7B5" w14:textId="77777777" w:rsidR="00896D0B" w:rsidRPr="00105BD0" w:rsidRDefault="00896D0B" w:rsidP="00896D0B">
      <w:pPr>
        <w:rPr>
          <w:rFonts w:cs="Arial"/>
          <w:szCs w:val="24"/>
        </w:rPr>
      </w:pPr>
    </w:p>
    <w:p w14:paraId="0CB597EF" w14:textId="4AE437FD" w:rsidR="00896D0B" w:rsidRPr="00223464" w:rsidRDefault="00223464" w:rsidP="00223464">
      <w:pPr>
        <w:rPr>
          <w:rFonts w:cs="Arial"/>
          <w:b/>
          <w:sz w:val="28"/>
          <w:szCs w:val="28"/>
        </w:rPr>
      </w:pPr>
      <w:r>
        <w:rPr>
          <w:rFonts w:cs="Arial"/>
          <w:b/>
          <w:sz w:val="28"/>
          <w:szCs w:val="28"/>
        </w:rPr>
        <w:t xml:space="preserve">1. </w:t>
      </w:r>
      <w:r w:rsidRPr="0039072F">
        <w:rPr>
          <w:rFonts w:cs="Arial"/>
          <w:b/>
          <w:sz w:val="28"/>
          <w:szCs w:val="28"/>
        </w:rPr>
        <w:tab/>
      </w:r>
      <w:r w:rsidR="00EA4D45" w:rsidRPr="00887A59">
        <w:rPr>
          <w:b/>
          <w:sz w:val="28"/>
          <w:szCs w:val="28"/>
        </w:rPr>
        <w:t>Introduction</w:t>
      </w:r>
    </w:p>
    <w:p w14:paraId="2D9262C0" w14:textId="77777777" w:rsidR="00745F95" w:rsidRPr="00745F95" w:rsidRDefault="00745F95" w:rsidP="00745F95">
      <w:pPr>
        <w:jc w:val="both"/>
      </w:pPr>
    </w:p>
    <w:p w14:paraId="2917920C" w14:textId="084AA2CA" w:rsidR="00723C6A" w:rsidRDefault="00723C6A" w:rsidP="004E1FB4">
      <w:pPr>
        <w:pStyle w:val="ListParagraph"/>
        <w:numPr>
          <w:ilvl w:val="1"/>
          <w:numId w:val="2"/>
        </w:numPr>
        <w:ind w:left="709" w:hanging="709"/>
        <w:jc w:val="both"/>
        <w:rPr>
          <w:rFonts w:cs="Arial"/>
          <w:szCs w:val="24"/>
          <w:lang w:eastAsia="en-GB"/>
        </w:rPr>
      </w:pPr>
      <w:r w:rsidRPr="00723C6A">
        <w:rPr>
          <w:rFonts w:cs="Arial"/>
          <w:szCs w:val="24"/>
          <w:lang w:eastAsia="en-GB"/>
        </w:rPr>
        <w:t>The Council is required to operate a balanced budget, which broadly means that cash raised during the year will meet cash expenditure. Part of the treasury management operation is to ensure that this cash flow is adequately planned, with cash being available when it is needed.  Surplus monies are invested in low risk counterparties or instruments commensurate with the Council’s low risk appetite, providing adequate liquidity initially before considering investment return.</w:t>
      </w:r>
    </w:p>
    <w:p w14:paraId="3253DD5A" w14:textId="77777777" w:rsidR="00723C6A" w:rsidRDefault="00723C6A" w:rsidP="00723C6A">
      <w:pPr>
        <w:pStyle w:val="ListParagraph"/>
        <w:ind w:left="709"/>
        <w:jc w:val="both"/>
        <w:rPr>
          <w:rFonts w:cs="Arial"/>
          <w:szCs w:val="24"/>
          <w:lang w:eastAsia="en-GB"/>
        </w:rPr>
      </w:pPr>
    </w:p>
    <w:p w14:paraId="4CDF9993" w14:textId="53EC08BC" w:rsidR="00723C6A" w:rsidRDefault="00723C6A" w:rsidP="004E1FB4">
      <w:pPr>
        <w:pStyle w:val="ListParagraph"/>
        <w:numPr>
          <w:ilvl w:val="1"/>
          <w:numId w:val="2"/>
        </w:numPr>
        <w:ind w:left="709" w:hanging="709"/>
        <w:jc w:val="both"/>
        <w:rPr>
          <w:rFonts w:cs="Arial"/>
          <w:szCs w:val="24"/>
          <w:lang w:eastAsia="en-GB"/>
        </w:rPr>
      </w:pPr>
      <w:r w:rsidRPr="00723C6A">
        <w:rPr>
          <w:rFonts w:cs="Arial"/>
          <w:szCs w:val="24"/>
          <w:lang w:eastAsia="en-GB"/>
        </w:rPr>
        <w:t xml:space="preserve">The second main function of the treasury management service is the funding of the Council’s capital plans.  These capital plans provide a guide to the borrowing need of the Council, essentially the longer-term cash flow planning, to ensure that the Council can meet its capital spending obligations. This management of longer-term cash may involve </w:t>
      </w:r>
      <w:r w:rsidRPr="00723C6A">
        <w:rPr>
          <w:rFonts w:cs="Arial"/>
          <w:szCs w:val="24"/>
          <w:lang w:eastAsia="en-GB"/>
        </w:rPr>
        <w:lastRenderedPageBreak/>
        <w:t xml:space="preserve">arranging long or short-term </w:t>
      </w:r>
      <w:r w:rsidR="0081234A" w:rsidRPr="00723C6A">
        <w:rPr>
          <w:rFonts w:cs="Arial"/>
          <w:szCs w:val="24"/>
          <w:lang w:eastAsia="en-GB"/>
        </w:rPr>
        <w:t>loans, or</w:t>
      </w:r>
      <w:r w:rsidRPr="00723C6A">
        <w:rPr>
          <w:rFonts w:cs="Arial"/>
          <w:szCs w:val="24"/>
          <w:lang w:eastAsia="en-GB"/>
        </w:rPr>
        <w:t xml:space="preserve"> using longer-term cash flow surpluses. On occasion, when it is prudent and economic, any debt previously drawn may be restructured to meet Council risk or cost objectives. </w:t>
      </w:r>
    </w:p>
    <w:p w14:paraId="39138C59" w14:textId="77777777" w:rsidR="00723C6A" w:rsidRPr="00723C6A" w:rsidRDefault="00723C6A" w:rsidP="00723C6A">
      <w:pPr>
        <w:pStyle w:val="ListParagraph"/>
        <w:rPr>
          <w:rFonts w:cs="Arial"/>
          <w:sz w:val="22"/>
          <w:szCs w:val="22"/>
        </w:rPr>
      </w:pPr>
    </w:p>
    <w:p w14:paraId="3D836E03" w14:textId="0B35E082" w:rsidR="00723C6A" w:rsidRDefault="00723C6A" w:rsidP="004E1FB4">
      <w:pPr>
        <w:pStyle w:val="ListParagraph"/>
        <w:numPr>
          <w:ilvl w:val="1"/>
          <w:numId w:val="2"/>
        </w:numPr>
        <w:tabs>
          <w:tab w:val="num" w:pos="709"/>
        </w:tabs>
        <w:ind w:left="709" w:hanging="709"/>
        <w:jc w:val="both"/>
        <w:rPr>
          <w:rFonts w:cs="Arial"/>
          <w:szCs w:val="24"/>
          <w:lang w:eastAsia="en-GB"/>
        </w:rPr>
      </w:pPr>
      <w:r w:rsidRPr="00723C6A">
        <w:rPr>
          <w:rFonts w:cs="Arial"/>
          <w:szCs w:val="24"/>
          <w:lang w:eastAsia="en-GB"/>
        </w:rPr>
        <w:t>The contribution the treasury management function makes to the authority is critical, as the balance of debt and investment operations ensure liquidity or the ability to meet spending commitments as they fall due, either on day-to-day revenue or for larger capital projects.  The treasury operations will see a balance of the interest costs of debt and the investment income arising from cash deposits affecting the available budget.  Since cash balances generally result from reserves and balances, it is paramount to ensure adequate security of the sums invested, as a loss of principal will in effect result in a loss to the General Fund Balance.</w:t>
      </w:r>
    </w:p>
    <w:p w14:paraId="2CF29872" w14:textId="77777777" w:rsidR="00723C6A" w:rsidRPr="00723C6A" w:rsidRDefault="00723C6A" w:rsidP="00723C6A">
      <w:pPr>
        <w:jc w:val="both"/>
        <w:rPr>
          <w:rFonts w:cs="Arial"/>
          <w:szCs w:val="24"/>
          <w:lang w:eastAsia="en-GB"/>
        </w:rPr>
      </w:pPr>
    </w:p>
    <w:p w14:paraId="3FF58E4D" w14:textId="77777777" w:rsidR="00723C6A" w:rsidRDefault="00723C6A" w:rsidP="004E1FB4">
      <w:pPr>
        <w:pStyle w:val="ListParagraph"/>
        <w:numPr>
          <w:ilvl w:val="1"/>
          <w:numId w:val="2"/>
        </w:numPr>
        <w:tabs>
          <w:tab w:val="num" w:pos="709"/>
        </w:tabs>
        <w:ind w:left="709" w:hanging="709"/>
        <w:jc w:val="both"/>
        <w:rPr>
          <w:rFonts w:cs="Arial"/>
          <w:szCs w:val="24"/>
          <w:lang w:eastAsia="en-GB"/>
        </w:rPr>
      </w:pPr>
      <w:r w:rsidRPr="00723C6A">
        <w:rPr>
          <w:rFonts w:cs="Arial"/>
          <w:szCs w:val="24"/>
          <w:lang w:eastAsia="en-GB"/>
        </w:rPr>
        <w:t>CIPFA defines treasury management as:</w:t>
      </w:r>
    </w:p>
    <w:p w14:paraId="3A67DDFD" w14:textId="77777777" w:rsidR="00723C6A" w:rsidRDefault="00723C6A" w:rsidP="00183378">
      <w:pPr>
        <w:pStyle w:val="ListParagraph"/>
        <w:tabs>
          <w:tab w:val="num" w:pos="709"/>
        </w:tabs>
        <w:ind w:left="709"/>
        <w:jc w:val="both"/>
        <w:rPr>
          <w:rFonts w:cs="Arial"/>
          <w:i/>
          <w:iCs/>
          <w:szCs w:val="24"/>
          <w:lang w:eastAsia="en-GB"/>
        </w:rPr>
      </w:pPr>
      <w:r w:rsidRPr="00723C6A">
        <w:rPr>
          <w:rFonts w:cs="Arial"/>
          <w:i/>
          <w:iCs/>
          <w:szCs w:val="24"/>
          <w:lang w:eastAsia="en-GB"/>
        </w:rPr>
        <w:t>“The management of the local authority’s borrowing, investments and cash flows, its banking, money market and capital market transactions; the effective control of the risks associated with those activities; and the pursuit of optimum performance consistent with those risks.”</w:t>
      </w:r>
    </w:p>
    <w:p w14:paraId="572C7112" w14:textId="77777777" w:rsidR="00723C6A" w:rsidRDefault="00723C6A" w:rsidP="00723C6A">
      <w:pPr>
        <w:pStyle w:val="ListParagraph"/>
        <w:tabs>
          <w:tab w:val="num" w:pos="540"/>
        </w:tabs>
        <w:ind w:left="540"/>
        <w:jc w:val="both"/>
        <w:rPr>
          <w:rFonts w:cs="Arial"/>
          <w:i/>
          <w:iCs/>
          <w:szCs w:val="24"/>
          <w:lang w:eastAsia="en-GB"/>
        </w:rPr>
      </w:pPr>
    </w:p>
    <w:p w14:paraId="24D01D80" w14:textId="3A32DF86" w:rsidR="00723C6A" w:rsidRPr="00723C6A" w:rsidRDefault="00723C6A" w:rsidP="004E1FB4">
      <w:pPr>
        <w:pStyle w:val="ListParagraph"/>
        <w:numPr>
          <w:ilvl w:val="1"/>
          <w:numId w:val="2"/>
        </w:numPr>
        <w:tabs>
          <w:tab w:val="num" w:pos="709"/>
        </w:tabs>
        <w:ind w:left="709" w:hanging="709"/>
        <w:jc w:val="both"/>
        <w:rPr>
          <w:rFonts w:cs="Arial"/>
          <w:szCs w:val="24"/>
          <w:lang w:eastAsia="en-GB"/>
        </w:rPr>
      </w:pPr>
      <w:r w:rsidRPr="00723C6A">
        <w:rPr>
          <w:rFonts w:cs="Arial"/>
          <w:szCs w:val="24"/>
          <w:lang w:eastAsia="en-GB"/>
        </w:rPr>
        <w:t>The Local Government Act 2003 and supporting regulations require th</w:t>
      </w:r>
      <w:r>
        <w:rPr>
          <w:rFonts w:cs="Arial"/>
          <w:szCs w:val="24"/>
          <w:lang w:eastAsia="en-GB"/>
        </w:rPr>
        <w:t xml:space="preserve">e </w:t>
      </w:r>
      <w:r w:rsidRPr="00723C6A">
        <w:rPr>
          <w:rFonts w:cs="Arial"/>
          <w:szCs w:val="24"/>
          <w:lang w:eastAsia="en-GB"/>
        </w:rPr>
        <w:t>Council to ‘have regard to’ the Prudential Code (The Prudential Code for Capital Finance in Local Authorities [CIPFA 2017 Edition]) and Treasury Management Code (Treasury Management in the Public Services: Code of Practice and Cross-Sectoral Guidance Notes [CIPFA 2017 Edition]), in setting Treasury and Prudential Indicators for the next three years and in ensuring that the Council’s capital investment programme is affordable, prudent and sustainable.</w:t>
      </w:r>
    </w:p>
    <w:p w14:paraId="5F087517" w14:textId="77777777" w:rsidR="00723C6A" w:rsidRPr="00723C6A" w:rsidRDefault="00723C6A" w:rsidP="00223464">
      <w:pPr>
        <w:pStyle w:val="ListParagraph"/>
        <w:tabs>
          <w:tab w:val="num" w:pos="540"/>
          <w:tab w:val="num" w:pos="709"/>
        </w:tabs>
        <w:ind w:left="709"/>
        <w:jc w:val="both"/>
        <w:rPr>
          <w:rFonts w:cs="Arial"/>
          <w:szCs w:val="24"/>
          <w:lang w:eastAsia="en-GB"/>
        </w:rPr>
      </w:pPr>
    </w:p>
    <w:p w14:paraId="6280D908" w14:textId="77777777" w:rsidR="00723C6A" w:rsidRPr="00723C6A" w:rsidRDefault="00723C6A" w:rsidP="004E1FB4">
      <w:pPr>
        <w:pStyle w:val="ListParagraph"/>
        <w:numPr>
          <w:ilvl w:val="1"/>
          <w:numId w:val="2"/>
        </w:numPr>
        <w:tabs>
          <w:tab w:val="num" w:pos="709"/>
        </w:tabs>
        <w:ind w:left="709" w:hanging="709"/>
        <w:jc w:val="both"/>
        <w:rPr>
          <w:rFonts w:cs="Arial"/>
          <w:szCs w:val="24"/>
          <w:lang w:eastAsia="en-GB"/>
        </w:rPr>
      </w:pPr>
      <w:r w:rsidRPr="00723C6A">
        <w:rPr>
          <w:rFonts w:cs="Arial"/>
          <w:szCs w:val="24"/>
          <w:lang w:eastAsia="en-GB"/>
        </w:rPr>
        <w:t xml:space="preserve">The Act, the Codes and Department for Communities and Local Government Investment Guidance (2018) require the Council to set out its Treasury Strategy for Borrowing and to prepare an Annual Investment Strategy that establishes the Council’s policies for managing its investments and for giving priority to the security and liquidity of those investments. </w:t>
      </w:r>
      <w:r w:rsidRPr="00183378">
        <w:rPr>
          <w:rFonts w:cs="Arial"/>
          <w:szCs w:val="24"/>
          <w:lang w:eastAsia="en-GB"/>
        </w:rPr>
        <w:t>A summary of the relevant legislation, regulations and guidance is included as Appendix A</w:t>
      </w:r>
      <w:r w:rsidRPr="00723C6A">
        <w:rPr>
          <w:rFonts w:cs="Arial"/>
          <w:szCs w:val="24"/>
          <w:lang w:eastAsia="en-GB"/>
        </w:rPr>
        <w:t>.</w:t>
      </w:r>
    </w:p>
    <w:p w14:paraId="0412F468" w14:textId="77777777" w:rsidR="00723C6A" w:rsidRPr="00723C6A" w:rsidRDefault="00723C6A" w:rsidP="00223464">
      <w:pPr>
        <w:pStyle w:val="ListParagraph"/>
        <w:tabs>
          <w:tab w:val="num" w:pos="709"/>
        </w:tabs>
        <w:ind w:left="709"/>
        <w:jc w:val="both"/>
        <w:rPr>
          <w:rFonts w:cs="Arial"/>
          <w:szCs w:val="24"/>
          <w:lang w:eastAsia="en-GB"/>
        </w:rPr>
      </w:pPr>
    </w:p>
    <w:p w14:paraId="6636EDDB" w14:textId="77777777" w:rsidR="00723C6A" w:rsidRPr="00723C6A" w:rsidRDefault="00723C6A" w:rsidP="004E1FB4">
      <w:pPr>
        <w:pStyle w:val="ListParagraph"/>
        <w:numPr>
          <w:ilvl w:val="1"/>
          <w:numId w:val="2"/>
        </w:numPr>
        <w:tabs>
          <w:tab w:val="num" w:pos="709"/>
        </w:tabs>
        <w:ind w:left="709" w:hanging="709"/>
        <w:jc w:val="both"/>
        <w:rPr>
          <w:rFonts w:cs="Arial"/>
          <w:szCs w:val="24"/>
          <w:lang w:eastAsia="en-GB"/>
        </w:rPr>
      </w:pPr>
      <w:r w:rsidRPr="00723C6A">
        <w:rPr>
          <w:rFonts w:cs="Arial"/>
          <w:szCs w:val="24"/>
          <w:lang w:eastAsia="en-GB"/>
        </w:rPr>
        <w:t xml:space="preserve">The budget for each financial year includes the revenue costs that flow from capital financing decisions. Under the Treasury Management Code, increases in capital expenditure should be limited to levels whereby increases in interest charges and running costs are affordable within the Council’s budget. </w:t>
      </w:r>
    </w:p>
    <w:p w14:paraId="644FCD9D" w14:textId="16E56574" w:rsidR="00723C6A" w:rsidRPr="00723C6A" w:rsidRDefault="00723C6A" w:rsidP="00223464">
      <w:pPr>
        <w:pStyle w:val="ListParagraph"/>
        <w:tabs>
          <w:tab w:val="num" w:pos="709"/>
        </w:tabs>
        <w:ind w:left="709"/>
        <w:jc w:val="both"/>
        <w:rPr>
          <w:rFonts w:cs="Arial"/>
          <w:szCs w:val="24"/>
          <w:lang w:eastAsia="en-GB"/>
        </w:rPr>
      </w:pPr>
    </w:p>
    <w:p w14:paraId="648FDED1" w14:textId="77777777" w:rsidR="00723C6A" w:rsidRPr="00723C6A" w:rsidRDefault="00723C6A" w:rsidP="004E1FB4">
      <w:pPr>
        <w:pStyle w:val="ListParagraph"/>
        <w:numPr>
          <w:ilvl w:val="1"/>
          <w:numId w:val="2"/>
        </w:numPr>
        <w:tabs>
          <w:tab w:val="num" w:pos="709"/>
        </w:tabs>
        <w:ind w:left="709" w:hanging="709"/>
        <w:jc w:val="both"/>
        <w:rPr>
          <w:rFonts w:cs="Arial"/>
          <w:szCs w:val="24"/>
          <w:lang w:eastAsia="en-GB"/>
        </w:rPr>
      </w:pPr>
      <w:r w:rsidRPr="00723C6A">
        <w:rPr>
          <w:rFonts w:cs="Arial"/>
          <w:szCs w:val="24"/>
          <w:lang w:eastAsia="en-GB"/>
        </w:rPr>
        <w:t xml:space="preserve">The Council regards the successful identification, monitoring and control of risk to be the prime criteria by which the effectiveness of its treasury management activities will be measured. Accordingly, the analysis and reporting of treasury management activities will focus on their risk implications for the organisation. </w:t>
      </w:r>
    </w:p>
    <w:p w14:paraId="7E63EF82" w14:textId="7971C890" w:rsidR="00723C6A" w:rsidRPr="00723C6A" w:rsidRDefault="00723C6A" w:rsidP="00223464">
      <w:pPr>
        <w:pStyle w:val="ListParagraph"/>
        <w:tabs>
          <w:tab w:val="num" w:pos="540"/>
          <w:tab w:val="num" w:pos="709"/>
        </w:tabs>
        <w:ind w:left="709"/>
        <w:jc w:val="both"/>
        <w:rPr>
          <w:rFonts w:cs="Arial"/>
          <w:szCs w:val="24"/>
          <w:lang w:eastAsia="en-GB"/>
        </w:rPr>
      </w:pPr>
    </w:p>
    <w:p w14:paraId="25AA9DA8" w14:textId="5C0116C3" w:rsidR="00183378" w:rsidRPr="0081234A" w:rsidRDefault="00723C6A" w:rsidP="0081234A">
      <w:pPr>
        <w:pStyle w:val="ListParagraph"/>
        <w:numPr>
          <w:ilvl w:val="1"/>
          <w:numId w:val="2"/>
        </w:numPr>
        <w:tabs>
          <w:tab w:val="num" w:pos="709"/>
        </w:tabs>
        <w:ind w:left="709" w:hanging="709"/>
        <w:jc w:val="both"/>
        <w:rPr>
          <w:rFonts w:cs="Arial"/>
          <w:szCs w:val="24"/>
          <w:lang w:eastAsia="en-GB"/>
        </w:rPr>
      </w:pPr>
      <w:r w:rsidRPr="0081234A">
        <w:rPr>
          <w:rFonts w:cs="Arial"/>
          <w:szCs w:val="24"/>
          <w:lang w:eastAsia="en-GB"/>
        </w:rPr>
        <w:t xml:space="preserve">The Council recognises that effective treasury management will provide support towards the achievement of its business and service objectives. </w:t>
      </w:r>
      <w:r w:rsidRPr="0081234A">
        <w:rPr>
          <w:rFonts w:cs="Arial"/>
          <w:szCs w:val="24"/>
          <w:lang w:eastAsia="en-GB"/>
        </w:rPr>
        <w:lastRenderedPageBreak/>
        <w:t xml:space="preserve">It is therefore committed to the principles of achieving value for money in treasury management, and to employing suitable comprehensive performance measurement techniques, within the context of effective risk management. </w:t>
      </w:r>
    </w:p>
    <w:p w14:paraId="16E9E2B3" w14:textId="77777777" w:rsidR="00183378" w:rsidRPr="00183378" w:rsidRDefault="00183378" w:rsidP="00183378">
      <w:pPr>
        <w:jc w:val="both"/>
        <w:rPr>
          <w:rFonts w:cs="Arial"/>
          <w:szCs w:val="24"/>
          <w:lang w:eastAsia="en-GB"/>
        </w:rPr>
      </w:pPr>
    </w:p>
    <w:p w14:paraId="3AEB9327" w14:textId="5ED41E45" w:rsidR="003028F9" w:rsidRPr="0039072F" w:rsidRDefault="003028F9" w:rsidP="007F7A78">
      <w:pPr>
        <w:ind w:firstLine="709"/>
        <w:rPr>
          <w:rFonts w:cs="Arial"/>
          <w:b/>
          <w:szCs w:val="24"/>
        </w:rPr>
      </w:pPr>
      <w:r w:rsidRPr="0039072F">
        <w:rPr>
          <w:rFonts w:cs="Arial"/>
          <w:b/>
          <w:szCs w:val="24"/>
        </w:rPr>
        <w:t xml:space="preserve">Reporting Requirements </w:t>
      </w:r>
    </w:p>
    <w:p w14:paraId="7A7919E7" w14:textId="77777777" w:rsidR="00533A60" w:rsidRPr="009D3373" w:rsidRDefault="00533A60" w:rsidP="00533A60">
      <w:pPr>
        <w:pStyle w:val="ListParagraph"/>
        <w:jc w:val="both"/>
        <w:rPr>
          <w:rFonts w:cs="Arial"/>
          <w:b/>
          <w:iCs/>
          <w:sz w:val="28"/>
          <w:szCs w:val="28"/>
        </w:rPr>
      </w:pPr>
    </w:p>
    <w:p w14:paraId="1087CE6C" w14:textId="280798FD" w:rsidR="00223464" w:rsidRPr="00223464" w:rsidRDefault="00223464" w:rsidP="004E1FB4">
      <w:pPr>
        <w:pStyle w:val="ListParagraph"/>
        <w:numPr>
          <w:ilvl w:val="1"/>
          <w:numId w:val="2"/>
        </w:numPr>
        <w:tabs>
          <w:tab w:val="num" w:pos="709"/>
        </w:tabs>
        <w:ind w:left="709" w:hanging="709"/>
        <w:jc w:val="both"/>
        <w:rPr>
          <w:rFonts w:cs="Arial"/>
          <w:szCs w:val="24"/>
          <w:lang w:eastAsia="en-GB"/>
        </w:rPr>
      </w:pPr>
      <w:r w:rsidRPr="00223464">
        <w:rPr>
          <w:rFonts w:cs="Arial"/>
          <w:szCs w:val="24"/>
          <w:lang w:eastAsia="en-GB"/>
        </w:rPr>
        <w:t xml:space="preserve">The Council is currently required to receive and approve, as a minimum, three main treasury reports each year, which incorporate a variety of policies, estimates and actuals.  </w:t>
      </w:r>
    </w:p>
    <w:p w14:paraId="442AA048" w14:textId="77777777" w:rsidR="003028F9" w:rsidRPr="00EA4D45" w:rsidRDefault="003028F9" w:rsidP="00EA4D45">
      <w:pPr>
        <w:pStyle w:val="ListParagraph"/>
        <w:ind w:left="709"/>
        <w:jc w:val="both"/>
        <w:rPr>
          <w:rFonts w:cs="Arial"/>
          <w:szCs w:val="24"/>
          <w:lang w:eastAsia="en-GB"/>
        </w:rPr>
      </w:pPr>
      <w:r w:rsidRPr="00EA4D45">
        <w:rPr>
          <w:rFonts w:cs="Arial"/>
          <w:szCs w:val="24"/>
          <w:lang w:eastAsia="en-GB"/>
        </w:rPr>
        <w:t xml:space="preserve">  </w:t>
      </w:r>
    </w:p>
    <w:p w14:paraId="481E7804" w14:textId="5BFCC357" w:rsidR="00223464" w:rsidRDefault="00223464" w:rsidP="00223464">
      <w:pPr>
        <w:pStyle w:val="ListParagraph"/>
        <w:jc w:val="both"/>
        <w:rPr>
          <w:rFonts w:cs="Arial"/>
          <w:szCs w:val="24"/>
          <w:lang w:eastAsia="en-GB"/>
        </w:rPr>
      </w:pPr>
      <w:r w:rsidRPr="00223464">
        <w:rPr>
          <w:rFonts w:cs="Arial"/>
          <w:b/>
          <w:bCs/>
          <w:szCs w:val="24"/>
          <w:lang w:eastAsia="en-GB"/>
        </w:rPr>
        <w:t xml:space="preserve">Treasury Management Strategy Statement report </w:t>
      </w:r>
      <w:r w:rsidRPr="00223464">
        <w:rPr>
          <w:rFonts w:cs="Arial"/>
          <w:szCs w:val="24"/>
          <w:lang w:eastAsia="en-GB"/>
        </w:rPr>
        <w:t>(this report) - The first</w:t>
      </w:r>
      <w:r>
        <w:rPr>
          <w:rFonts w:cs="Arial"/>
          <w:szCs w:val="24"/>
          <w:lang w:eastAsia="en-GB"/>
        </w:rPr>
        <w:t xml:space="preserve"> </w:t>
      </w:r>
      <w:r w:rsidRPr="00223464">
        <w:rPr>
          <w:rFonts w:cs="Arial"/>
          <w:szCs w:val="24"/>
          <w:lang w:eastAsia="en-GB"/>
        </w:rPr>
        <w:t>and most important report</w:t>
      </w:r>
      <w:r>
        <w:rPr>
          <w:rFonts w:cs="Arial"/>
          <w:szCs w:val="24"/>
          <w:lang w:eastAsia="en-GB"/>
        </w:rPr>
        <w:t xml:space="preserve"> is for</w:t>
      </w:r>
      <w:r w:rsidRPr="00223464">
        <w:rPr>
          <w:rFonts w:cs="Arial"/>
          <w:szCs w:val="24"/>
          <w:lang w:eastAsia="en-GB"/>
        </w:rPr>
        <w:t>ward looking and covers:</w:t>
      </w:r>
    </w:p>
    <w:p w14:paraId="55A4DD13" w14:textId="77777777" w:rsidR="00223464" w:rsidRPr="00223464" w:rsidRDefault="00223464" w:rsidP="00223464">
      <w:pPr>
        <w:pStyle w:val="ListParagraph"/>
        <w:jc w:val="both"/>
        <w:rPr>
          <w:rFonts w:cs="Arial"/>
          <w:szCs w:val="24"/>
          <w:lang w:eastAsia="en-GB"/>
        </w:rPr>
      </w:pPr>
    </w:p>
    <w:p w14:paraId="514DC9B2" w14:textId="77777777" w:rsidR="00223464" w:rsidRDefault="00223464" w:rsidP="004E1FB4">
      <w:pPr>
        <w:pStyle w:val="ListParagraph"/>
        <w:numPr>
          <w:ilvl w:val="0"/>
          <w:numId w:val="5"/>
        </w:numPr>
        <w:jc w:val="both"/>
        <w:rPr>
          <w:rFonts w:cs="Arial"/>
          <w:szCs w:val="24"/>
          <w:lang w:eastAsia="en-GB"/>
        </w:rPr>
      </w:pPr>
      <w:r w:rsidRPr="00223464">
        <w:rPr>
          <w:rFonts w:cs="Arial"/>
          <w:szCs w:val="24"/>
          <w:lang w:eastAsia="en-GB"/>
        </w:rPr>
        <w:t>the capital plans, (including prudential indicators)</w:t>
      </w:r>
    </w:p>
    <w:p w14:paraId="4EA3B101" w14:textId="77777777" w:rsidR="00223464" w:rsidRDefault="00223464" w:rsidP="004E1FB4">
      <w:pPr>
        <w:pStyle w:val="ListParagraph"/>
        <w:numPr>
          <w:ilvl w:val="0"/>
          <w:numId w:val="5"/>
        </w:numPr>
        <w:jc w:val="both"/>
        <w:rPr>
          <w:rFonts w:cs="Arial"/>
          <w:szCs w:val="24"/>
          <w:lang w:eastAsia="en-GB"/>
        </w:rPr>
      </w:pPr>
      <w:r w:rsidRPr="00223464">
        <w:rPr>
          <w:rFonts w:cs="Arial"/>
          <w:szCs w:val="24"/>
          <w:lang w:eastAsia="en-GB"/>
        </w:rPr>
        <w:t>a minimum revenue provision (MRP) policy, (how residual capital expenditure is charged to revenue over time)</w:t>
      </w:r>
    </w:p>
    <w:p w14:paraId="311EB6D5" w14:textId="77777777" w:rsidR="00223464" w:rsidRDefault="00223464" w:rsidP="004E1FB4">
      <w:pPr>
        <w:pStyle w:val="ListParagraph"/>
        <w:numPr>
          <w:ilvl w:val="0"/>
          <w:numId w:val="5"/>
        </w:numPr>
        <w:jc w:val="both"/>
        <w:rPr>
          <w:rFonts w:cs="Arial"/>
          <w:szCs w:val="24"/>
          <w:lang w:eastAsia="en-GB"/>
        </w:rPr>
      </w:pPr>
      <w:r w:rsidRPr="00223464">
        <w:rPr>
          <w:rFonts w:cs="Arial"/>
          <w:szCs w:val="24"/>
          <w:lang w:eastAsia="en-GB"/>
        </w:rPr>
        <w:t xml:space="preserve">the treasury management strategy, (how the investments and borrowings are to be organised), including treasury indicators; and </w:t>
      </w:r>
    </w:p>
    <w:p w14:paraId="64A7D9D0" w14:textId="35163C94" w:rsidR="00223464" w:rsidRPr="00223464" w:rsidRDefault="00223464" w:rsidP="004E1FB4">
      <w:pPr>
        <w:pStyle w:val="ListParagraph"/>
        <w:numPr>
          <w:ilvl w:val="0"/>
          <w:numId w:val="5"/>
        </w:numPr>
        <w:jc w:val="both"/>
        <w:rPr>
          <w:rFonts w:cs="Arial"/>
          <w:szCs w:val="24"/>
          <w:lang w:eastAsia="en-GB"/>
        </w:rPr>
      </w:pPr>
      <w:r w:rsidRPr="00223464">
        <w:rPr>
          <w:rFonts w:cs="Arial"/>
          <w:szCs w:val="24"/>
          <w:lang w:eastAsia="en-GB"/>
        </w:rPr>
        <w:t>an investment strategy, (the parameters on how investments are to be managed)</w:t>
      </w:r>
    </w:p>
    <w:p w14:paraId="2D1F7976" w14:textId="77777777" w:rsidR="003028F9" w:rsidRPr="00105BD0" w:rsidRDefault="003028F9" w:rsidP="0001289F">
      <w:pPr>
        <w:ind w:left="709"/>
        <w:jc w:val="both"/>
        <w:rPr>
          <w:rFonts w:cs="Arial"/>
          <w:iCs/>
          <w:noProof/>
          <w:sz w:val="22"/>
          <w:szCs w:val="22"/>
        </w:rPr>
      </w:pPr>
    </w:p>
    <w:p w14:paraId="0F0DF192" w14:textId="67710187" w:rsidR="00D948F2" w:rsidRPr="00D948F2" w:rsidRDefault="003028F9" w:rsidP="00D948F2">
      <w:pPr>
        <w:pStyle w:val="ListParagraph"/>
        <w:jc w:val="both"/>
        <w:rPr>
          <w:rFonts w:cs="Arial"/>
          <w:szCs w:val="24"/>
          <w:lang w:eastAsia="en-GB"/>
        </w:rPr>
      </w:pPr>
      <w:r w:rsidRPr="00D948F2">
        <w:rPr>
          <w:rFonts w:cs="Arial"/>
          <w:b/>
          <w:bCs/>
          <w:szCs w:val="24"/>
          <w:lang w:eastAsia="en-GB"/>
        </w:rPr>
        <w:t>Mid-</w:t>
      </w:r>
      <w:r w:rsidR="00D5574A" w:rsidRPr="00D948F2">
        <w:rPr>
          <w:rFonts w:cs="Arial"/>
          <w:b/>
          <w:bCs/>
          <w:szCs w:val="24"/>
          <w:lang w:eastAsia="en-GB"/>
        </w:rPr>
        <w:t>Y</w:t>
      </w:r>
      <w:r w:rsidRPr="00D948F2">
        <w:rPr>
          <w:rFonts w:cs="Arial"/>
          <w:b/>
          <w:bCs/>
          <w:szCs w:val="24"/>
          <w:lang w:eastAsia="en-GB"/>
        </w:rPr>
        <w:t>ear</w:t>
      </w:r>
      <w:r w:rsidR="00EA4D45">
        <w:rPr>
          <w:rFonts w:cs="Arial"/>
          <w:b/>
          <w:bCs/>
          <w:szCs w:val="24"/>
          <w:lang w:eastAsia="en-GB"/>
        </w:rPr>
        <w:t xml:space="preserve"> Treasury </w:t>
      </w:r>
      <w:r w:rsidR="00887A59">
        <w:rPr>
          <w:rFonts w:cs="Arial"/>
          <w:b/>
          <w:bCs/>
          <w:szCs w:val="24"/>
          <w:lang w:eastAsia="en-GB"/>
        </w:rPr>
        <w:t xml:space="preserve">Management </w:t>
      </w:r>
      <w:r w:rsidR="00887A59" w:rsidRPr="00D948F2">
        <w:rPr>
          <w:rFonts w:cs="Arial"/>
          <w:b/>
          <w:bCs/>
          <w:szCs w:val="24"/>
          <w:lang w:eastAsia="en-GB"/>
        </w:rPr>
        <w:t>Review</w:t>
      </w:r>
      <w:r w:rsidRPr="00D948F2">
        <w:rPr>
          <w:rFonts w:cs="Arial"/>
          <w:b/>
          <w:bCs/>
          <w:szCs w:val="24"/>
          <w:lang w:eastAsia="en-GB"/>
        </w:rPr>
        <w:t xml:space="preserve"> </w:t>
      </w:r>
      <w:r w:rsidR="00D5574A" w:rsidRPr="00D948F2">
        <w:rPr>
          <w:rFonts w:cs="Arial"/>
          <w:b/>
          <w:bCs/>
          <w:szCs w:val="24"/>
          <w:lang w:eastAsia="en-GB"/>
        </w:rPr>
        <w:t>R</w:t>
      </w:r>
      <w:r w:rsidRPr="00D948F2">
        <w:rPr>
          <w:rFonts w:cs="Arial"/>
          <w:b/>
          <w:bCs/>
          <w:szCs w:val="24"/>
          <w:lang w:eastAsia="en-GB"/>
        </w:rPr>
        <w:t>eport</w:t>
      </w:r>
      <w:r w:rsidR="00D948F2">
        <w:rPr>
          <w:rFonts w:cs="Arial"/>
          <w:szCs w:val="24"/>
          <w:lang w:eastAsia="en-GB"/>
        </w:rPr>
        <w:t xml:space="preserve"> – </w:t>
      </w:r>
      <w:r w:rsidR="00D948F2" w:rsidRPr="00D948F2">
        <w:rPr>
          <w:rFonts w:cs="Arial"/>
          <w:szCs w:val="24"/>
          <w:lang w:eastAsia="en-GB"/>
        </w:rPr>
        <w:t xml:space="preserve">This is primarily a progress report and will update members on the capital position, amending prudential indicators as necessary, and whether any policies require revision. </w:t>
      </w:r>
    </w:p>
    <w:p w14:paraId="6D2169F1" w14:textId="77777777" w:rsidR="003028F9" w:rsidRPr="00105BD0" w:rsidRDefault="00BB3E59" w:rsidP="0001289F">
      <w:pPr>
        <w:ind w:left="709"/>
        <w:jc w:val="both"/>
        <w:rPr>
          <w:rFonts w:cs="Arial"/>
          <w:iCs/>
          <w:noProof/>
          <w:szCs w:val="24"/>
        </w:rPr>
      </w:pPr>
      <w:r>
        <w:rPr>
          <w:rFonts w:cs="Arial"/>
          <w:iCs/>
          <w:noProof/>
          <w:szCs w:val="24"/>
        </w:rPr>
        <w:t xml:space="preserve"> </w:t>
      </w:r>
    </w:p>
    <w:p w14:paraId="0FFAAE51" w14:textId="021ADAFE" w:rsidR="00D948F2" w:rsidRPr="00EA4D45" w:rsidRDefault="00D948F2" w:rsidP="00EA4D45">
      <w:pPr>
        <w:pStyle w:val="ListParagraph"/>
        <w:jc w:val="both"/>
        <w:rPr>
          <w:rFonts w:cs="Arial"/>
          <w:b/>
          <w:bCs/>
          <w:szCs w:val="24"/>
          <w:lang w:eastAsia="en-GB"/>
        </w:rPr>
      </w:pPr>
      <w:r w:rsidRPr="00D948F2">
        <w:rPr>
          <w:rFonts w:cs="Arial"/>
          <w:b/>
          <w:bCs/>
          <w:szCs w:val="24"/>
          <w:lang w:eastAsia="en-GB"/>
        </w:rPr>
        <w:t xml:space="preserve">An </w:t>
      </w:r>
      <w:r w:rsidR="00EA4D45">
        <w:rPr>
          <w:rFonts w:cs="Arial"/>
          <w:b/>
          <w:bCs/>
          <w:szCs w:val="24"/>
          <w:lang w:eastAsia="en-GB"/>
        </w:rPr>
        <w:t>A</w:t>
      </w:r>
      <w:r w:rsidRPr="00D948F2">
        <w:rPr>
          <w:rFonts w:cs="Arial"/>
          <w:b/>
          <w:bCs/>
          <w:szCs w:val="24"/>
          <w:lang w:eastAsia="en-GB"/>
        </w:rPr>
        <w:t xml:space="preserve">nnual </w:t>
      </w:r>
      <w:r w:rsidR="00EA4D45">
        <w:rPr>
          <w:rFonts w:cs="Arial"/>
          <w:b/>
          <w:bCs/>
          <w:szCs w:val="24"/>
          <w:lang w:eastAsia="en-GB"/>
        </w:rPr>
        <w:t>T</w:t>
      </w:r>
      <w:r w:rsidRPr="00D948F2">
        <w:rPr>
          <w:rFonts w:cs="Arial"/>
          <w:b/>
          <w:bCs/>
          <w:szCs w:val="24"/>
          <w:lang w:eastAsia="en-GB"/>
        </w:rPr>
        <w:t xml:space="preserve">reasury </w:t>
      </w:r>
      <w:r w:rsidR="00EA4D45">
        <w:rPr>
          <w:rFonts w:cs="Arial"/>
          <w:b/>
          <w:bCs/>
          <w:szCs w:val="24"/>
          <w:lang w:eastAsia="en-GB"/>
        </w:rPr>
        <w:t>O</w:t>
      </w:r>
      <w:r w:rsidRPr="00EA4D45">
        <w:rPr>
          <w:rFonts w:cs="Arial"/>
          <w:b/>
          <w:bCs/>
          <w:szCs w:val="24"/>
          <w:lang w:eastAsia="en-GB"/>
        </w:rPr>
        <w:t xml:space="preserve">utturn </w:t>
      </w:r>
      <w:r w:rsidR="00EA4D45">
        <w:rPr>
          <w:rFonts w:cs="Arial"/>
          <w:b/>
          <w:bCs/>
          <w:szCs w:val="24"/>
          <w:lang w:eastAsia="en-GB"/>
        </w:rPr>
        <w:t>R</w:t>
      </w:r>
      <w:r w:rsidRPr="00EA4D45">
        <w:rPr>
          <w:rFonts w:cs="Arial"/>
          <w:b/>
          <w:bCs/>
          <w:szCs w:val="24"/>
          <w:lang w:eastAsia="en-GB"/>
        </w:rPr>
        <w:t xml:space="preserve">eport </w:t>
      </w:r>
      <w:r w:rsidRPr="00EA4D45">
        <w:rPr>
          <w:rFonts w:cs="Arial"/>
          <w:szCs w:val="24"/>
          <w:lang w:eastAsia="en-GB"/>
        </w:rPr>
        <w:t xml:space="preserve">– This is a </w:t>
      </w:r>
      <w:r w:rsidR="00887A59" w:rsidRPr="00EA4D45">
        <w:rPr>
          <w:rFonts w:cs="Arial"/>
          <w:szCs w:val="24"/>
          <w:lang w:eastAsia="en-GB"/>
        </w:rPr>
        <w:t>backward-looking</w:t>
      </w:r>
      <w:r w:rsidRPr="00EA4D45">
        <w:rPr>
          <w:rFonts w:cs="Arial"/>
          <w:szCs w:val="24"/>
          <w:lang w:eastAsia="en-GB"/>
        </w:rPr>
        <w:t xml:space="preserve"> review document and provides details of a selection of actual prudential and treasury indicators and actual treasury operations compared to the estimates within the strategy.</w:t>
      </w:r>
    </w:p>
    <w:p w14:paraId="0F86CB98" w14:textId="413D441C" w:rsidR="00D5574A" w:rsidRDefault="00D5574A" w:rsidP="0001289F">
      <w:pPr>
        <w:ind w:left="709"/>
        <w:jc w:val="both"/>
        <w:rPr>
          <w:rFonts w:cs="Arial"/>
          <w:iCs/>
          <w:noProof/>
          <w:szCs w:val="24"/>
        </w:rPr>
      </w:pPr>
    </w:p>
    <w:p w14:paraId="27DB8051" w14:textId="0CD307BB" w:rsidR="003028F9" w:rsidRPr="00EA4D45" w:rsidRDefault="00EA4D45" w:rsidP="00EA4D45">
      <w:pPr>
        <w:pStyle w:val="ListParagraph"/>
        <w:ind w:left="709"/>
        <w:jc w:val="both"/>
        <w:rPr>
          <w:rFonts w:cs="Arial"/>
          <w:b/>
          <w:bCs/>
          <w:szCs w:val="24"/>
          <w:lang w:eastAsia="en-GB"/>
        </w:rPr>
      </w:pPr>
      <w:r w:rsidRPr="00EA4D45">
        <w:rPr>
          <w:rFonts w:cs="Arial"/>
          <w:b/>
          <w:bCs/>
          <w:szCs w:val="24"/>
          <w:lang w:eastAsia="en-GB"/>
        </w:rPr>
        <w:t xml:space="preserve">Capital Strategy </w:t>
      </w:r>
    </w:p>
    <w:p w14:paraId="2AD6655D" w14:textId="77777777" w:rsidR="00E463CA" w:rsidRDefault="00E463CA" w:rsidP="00FD0575">
      <w:pPr>
        <w:autoSpaceDE w:val="0"/>
        <w:autoSpaceDN w:val="0"/>
        <w:adjustRightInd w:val="0"/>
        <w:ind w:left="709" w:hanging="709"/>
        <w:rPr>
          <w:rFonts w:cs="Arial"/>
          <w:szCs w:val="24"/>
        </w:rPr>
      </w:pPr>
    </w:p>
    <w:p w14:paraId="0C3CDE89" w14:textId="77777777" w:rsidR="00EA4D45" w:rsidRPr="00EA4D45" w:rsidRDefault="00EA4D45" w:rsidP="004E1FB4">
      <w:pPr>
        <w:pStyle w:val="ListParagraph"/>
        <w:numPr>
          <w:ilvl w:val="1"/>
          <w:numId w:val="2"/>
        </w:numPr>
        <w:tabs>
          <w:tab w:val="num" w:pos="709"/>
        </w:tabs>
        <w:ind w:left="709" w:hanging="709"/>
        <w:jc w:val="both"/>
        <w:rPr>
          <w:rFonts w:cs="Arial"/>
          <w:szCs w:val="24"/>
          <w:lang w:eastAsia="en-GB"/>
        </w:rPr>
      </w:pPr>
      <w:r w:rsidRPr="00EA4D45">
        <w:rPr>
          <w:rFonts w:cs="Arial"/>
          <w:szCs w:val="24"/>
          <w:lang w:eastAsia="en-GB"/>
        </w:rPr>
        <w:t xml:space="preserve">The CIPFA 2017 Prudential and Treasury Management Codes require all local authorities to prepare a capital strategy report which will provide the following: </w:t>
      </w:r>
    </w:p>
    <w:p w14:paraId="1631D46F" w14:textId="3E12E9E5" w:rsidR="00EA4D45" w:rsidRPr="00EA4D45" w:rsidRDefault="00EA4D45" w:rsidP="004E1FB4">
      <w:pPr>
        <w:pStyle w:val="ListParagraph"/>
        <w:numPr>
          <w:ilvl w:val="0"/>
          <w:numId w:val="6"/>
        </w:numPr>
        <w:jc w:val="both"/>
        <w:rPr>
          <w:rFonts w:cs="Arial"/>
          <w:szCs w:val="24"/>
          <w:lang w:eastAsia="en-GB"/>
        </w:rPr>
      </w:pPr>
      <w:r w:rsidRPr="00EA4D45">
        <w:rPr>
          <w:rFonts w:cs="Arial"/>
          <w:szCs w:val="24"/>
          <w:lang w:eastAsia="en-GB"/>
        </w:rPr>
        <w:t xml:space="preserve">a high-level </w:t>
      </w:r>
      <w:r w:rsidR="00887A59" w:rsidRPr="00EA4D45">
        <w:rPr>
          <w:rFonts w:cs="Arial"/>
          <w:szCs w:val="24"/>
          <w:lang w:eastAsia="en-GB"/>
        </w:rPr>
        <w:t>long-term</w:t>
      </w:r>
      <w:r w:rsidRPr="00EA4D45">
        <w:rPr>
          <w:rFonts w:cs="Arial"/>
          <w:szCs w:val="24"/>
          <w:lang w:eastAsia="en-GB"/>
        </w:rPr>
        <w:t xml:space="preserve"> overview of how capital expenditure, capital</w:t>
      </w:r>
      <w:r>
        <w:rPr>
          <w:rFonts w:cs="Arial"/>
          <w:szCs w:val="24"/>
          <w:lang w:eastAsia="en-GB"/>
        </w:rPr>
        <w:t xml:space="preserve"> </w:t>
      </w:r>
      <w:r w:rsidRPr="00EA4D45">
        <w:rPr>
          <w:rFonts w:cs="Arial"/>
          <w:szCs w:val="24"/>
          <w:lang w:eastAsia="en-GB"/>
        </w:rPr>
        <w:t>financing and treasury management activity contribute to the provision of services</w:t>
      </w:r>
    </w:p>
    <w:p w14:paraId="10AF75AD" w14:textId="77777777" w:rsidR="00EA4D45" w:rsidRPr="00EA4D45" w:rsidRDefault="00EA4D45" w:rsidP="004E1FB4">
      <w:pPr>
        <w:pStyle w:val="ListParagraph"/>
        <w:numPr>
          <w:ilvl w:val="0"/>
          <w:numId w:val="6"/>
        </w:numPr>
        <w:jc w:val="both"/>
        <w:rPr>
          <w:rFonts w:cs="Arial"/>
          <w:szCs w:val="24"/>
          <w:lang w:eastAsia="en-GB"/>
        </w:rPr>
      </w:pPr>
      <w:r w:rsidRPr="00EA4D45">
        <w:rPr>
          <w:rFonts w:cs="Arial"/>
          <w:szCs w:val="24"/>
          <w:lang w:eastAsia="en-GB"/>
        </w:rPr>
        <w:t>an overview of how the associated risk is managed</w:t>
      </w:r>
    </w:p>
    <w:p w14:paraId="36422F09" w14:textId="77777777" w:rsidR="00EA4D45" w:rsidRPr="00EA4D45" w:rsidRDefault="00EA4D45" w:rsidP="004E1FB4">
      <w:pPr>
        <w:pStyle w:val="ListParagraph"/>
        <w:numPr>
          <w:ilvl w:val="0"/>
          <w:numId w:val="6"/>
        </w:numPr>
        <w:jc w:val="both"/>
        <w:rPr>
          <w:rFonts w:cs="Arial"/>
          <w:szCs w:val="24"/>
          <w:lang w:eastAsia="en-GB"/>
        </w:rPr>
      </w:pPr>
      <w:r w:rsidRPr="00EA4D45">
        <w:rPr>
          <w:rFonts w:cs="Arial"/>
          <w:szCs w:val="24"/>
          <w:lang w:eastAsia="en-GB"/>
        </w:rPr>
        <w:t>the implications for future financial sustainability</w:t>
      </w:r>
    </w:p>
    <w:p w14:paraId="24134729" w14:textId="77777777" w:rsidR="00EA4D45" w:rsidRPr="00803FAA" w:rsidRDefault="00EA4D45" w:rsidP="00EA4D45">
      <w:pPr>
        <w:pStyle w:val="BodyText"/>
        <w:jc w:val="both"/>
        <w:rPr>
          <w:sz w:val="22"/>
          <w:szCs w:val="22"/>
        </w:rPr>
      </w:pPr>
    </w:p>
    <w:p w14:paraId="6093DCFC" w14:textId="79C259B5" w:rsidR="00EA4D45" w:rsidRPr="005F1E3E" w:rsidRDefault="00EA4D45" w:rsidP="004E1FB4">
      <w:pPr>
        <w:pStyle w:val="ListParagraph"/>
        <w:numPr>
          <w:ilvl w:val="1"/>
          <w:numId w:val="2"/>
        </w:numPr>
        <w:tabs>
          <w:tab w:val="num" w:pos="709"/>
        </w:tabs>
        <w:ind w:left="709" w:hanging="709"/>
        <w:jc w:val="both"/>
        <w:rPr>
          <w:rFonts w:cs="Arial"/>
          <w:szCs w:val="24"/>
        </w:rPr>
      </w:pPr>
      <w:r w:rsidRPr="005F1E3E">
        <w:rPr>
          <w:rFonts w:cs="Arial"/>
          <w:szCs w:val="24"/>
          <w:lang w:eastAsia="en-GB"/>
        </w:rPr>
        <w:t xml:space="preserve">The aim of this capital strategy is to ensure that all elected members on the full council fully understand the overall long-term policy objectives and resulting capital strategy requirements, governance procedures and risk appetite. </w:t>
      </w:r>
      <w:r w:rsidRPr="00183378">
        <w:rPr>
          <w:rFonts w:cs="Arial"/>
          <w:szCs w:val="24"/>
        </w:rPr>
        <w:t xml:space="preserve">The Capital Strategy Report is set out in Appendix </w:t>
      </w:r>
      <w:r w:rsidR="005F1E3E" w:rsidRPr="00183378">
        <w:rPr>
          <w:rFonts w:cs="Arial"/>
          <w:szCs w:val="24"/>
        </w:rPr>
        <w:t>G</w:t>
      </w:r>
      <w:r w:rsidRPr="005F1E3E">
        <w:rPr>
          <w:rFonts w:cs="Arial"/>
          <w:szCs w:val="24"/>
        </w:rPr>
        <w:t xml:space="preserve">. </w:t>
      </w:r>
    </w:p>
    <w:p w14:paraId="239196BA" w14:textId="77777777" w:rsidR="00EA4D45" w:rsidRPr="00546911" w:rsidRDefault="00EA4D45" w:rsidP="00EA4D45">
      <w:pPr>
        <w:pStyle w:val="BodyText"/>
        <w:jc w:val="both"/>
        <w:rPr>
          <w:sz w:val="22"/>
          <w:szCs w:val="22"/>
        </w:rPr>
      </w:pPr>
      <w:r w:rsidRPr="00546911">
        <w:rPr>
          <w:sz w:val="22"/>
          <w:szCs w:val="22"/>
        </w:rPr>
        <w:t xml:space="preserve"> </w:t>
      </w:r>
    </w:p>
    <w:p w14:paraId="2350159E" w14:textId="77777777" w:rsidR="00EA4D45" w:rsidRPr="00EA4D45" w:rsidRDefault="00EA4D45" w:rsidP="004E1FB4">
      <w:pPr>
        <w:pStyle w:val="ListParagraph"/>
        <w:numPr>
          <w:ilvl w:val="1"/>
          <w:numId w:val="2"/>
        </w:numPr>
        <w:tabs>
          <w:tab w:val="num" w:pos="709"/>
        </w:tabs>
        <w:ind w:left="709" w:hanging="709"/>
        <w:jc w:val="both"/>
        <w:rPr>
          <w:rFonts w:cs="Arial"/>
          <w:szCs w:val="24"/>
          <w:lang w:eastAsia="en-GB"/>
        </w:rPr>
      </w:pPr>
      <w:r w:rsidRPr="00EA4D45">
        <w:rPr>
          <w:rFonts w:cs="Arial"/>
          <w:szCs w:val="24"/>
          <w:lang w:eastAsia="en-GB"/>
        </w:rPr>
        <w:t xml:space="preserve">The above reports are required to be adequately scrutinised, normally before being recommended to Cabinet / Council, with the role being undertaken by the Governance, Audit, Risk Management and Standards Committee (GARMSC).  </w:t>
      </w:r>
    </w:p>
    <w:p w14:paraId="525A2324" w14:textId="5DF0B921" w:rsidR="00EA4D45" w:rsidRPr="00EA4D45" w:rsidRDefault="00EA4D45" w:rsidP="00EA4D45">
      <w:pPr>
        <w:pStyle w:val="ListParagraph"/>
        <w:ind w:left="709"/>
        <w:jc w:val="both"/>
        <w:rPr>
          <w:rFonts w:cs="Arial"/>
          <w:szCs w:val="24"/>
          <w:lang w:eastAsia="en-GB"/>
        </w:rPr>
      </w:pPr>
    </w:p>
    <w:p w14:paraId="3F0689E3" w14:textId="2294A524" w:rsidR="00EA4D45" w:rsidRPr="0081234A" w:rsidRDefault="00EA4D45" w:rsidP="0081234A">
      <w:pPr>
        <w:pStyle w:val="ListParagraph"/>
        <w:numPr>
          <w:ilvl w:val="1"/>
          <w:numId w:val="2"/>
        </w:numPr>
        <w:tabs>
          <w:tab w:val="num" w:pos="709"/>
        </w:tabs>
        <w:ind w:left="709" w:hanging="709"/>
        <w:jc w:val="both"/>
        <w:rPr>
          <w:sz w:val="22"/>
          <w:szCs w:val="22"/>
        </w:rPr>
      </w:pPr>
      <w:r w:rsidRPr="0081234A">
        <w:rPr>
          <w:rFonts w:cs="Arial"/>
          <w:szCs w:val="24"/>
          <w:lang w:eastAsia="en-GB"/>
        </w:rPr>
        <w:t xml:space="preserve">The Council has delegated responsibility for the implementation and regular monitoring of its treasury management policies and practices to the Section 151 Officer. The Section 151 Officer chairs the Treasury Management Group (TMG), which monitors the treasury management activity and market conditions. Further details of responsibilities are given in Appendix B. </w:t>
      </w:r>
    </w:p>
    <w:p w14:paraId="1E41F6C9" w14:textId="77777777" w:rsidR="00723232" w:rsidRPr="0039072F" w:rsidRDefault="00723232" w:rsidP="007F7A78">
      <w:pPr>
        <w:pStyle w:val="subhead"/>
        <w:numPr>
          <w:ilvl w:val="0"/>
          <w:numId w:val="0"/>
        </w:numPr>
        <w:ind w:left="360" w:firstLine="349"/>
        <w:rPr>
          <w:noProof w:val="0"/>
          <w:sz w:val="24"/>
          <w:szCs w:val="24"/>
        </w:rPr>
      </w:pPr>
      <w:bookmarkStart w:id="0" w:name="_Toc60749542"/>
      <w:r w:rsidRPr="0039072F">
        <w:rPr>
          <w:noProof w:val="0"/>
          <w:sz w:val="24"/>
          <w:szCs w:val="24"/>
        </w:rPr>
        <w:t>Treasury Management Strategy for 2021/22</w:t>
      </w:r>
      <w:bookmarkEnd w:id="0"/>
    </w:p>
    <w:p w14:paraId="179CE641" w14:textId="089BF2F4" w:rsidR="00EA4D45" w:rsidRPr="00EA4D45" w:rsidRDefault="00EA4D45" w:rsidP="004E1FB4">
      <w:pPr>
        <w:pStyle w:val="ListParagraph"/>
        <w:numPr>
          <w:ilvl w:val="1"/>
          <w:numId w:val="2"/>
        </w:numPr>
        <w:tabs>
          <w:tab w:val="num" w:pos="709"/>
        </w:tabs>
        <w:ind w:left="709" w:hanging="709"/>
        <w:jc w:val="both"/>
        <w:rPr>
          <w:rFonts w:cs="Arial"/>
          <w:szCs w:val="24"/>
          <w:lang w:eastAsia="en-GB"/>
        </w:rPr>
      </w:pPr>
      <w:r w:rsidRPr="00723232">
        <w:rPr>
          <w:rFonts w:cs="Arial"/>
          <w:szCs w:val="24"/>
          <w:lang w:eastAsia="en-GB"/>
        </w:rPr>
        <w:t>The strategy for 2021/22 covers t</w:t>
      </w:r>
      <w:r w:rsidR="00723232">
        <w:rPr>
          <w:rFonts w:cs="Arial"/>
          <w:szCs w:val="24"/>
          <w:lang w:eastAsia="en-GB"/>
        </w:rPr>
        <w:t>he following</w:t>
      </w:r>
      <w:r w:rsidRPr="00723232">
        <w:rPr>
          <w:rFonts w:cs="Arial"/>
          <w:szCs w:val="24"/>
          <w:lang w:eastAsia="en-GB"/>
        </w:rPr>
        <w:t xml:space="preserve"> areas:</w:t>
      </w:r>
    </w:p>
    <w:p w14:paraId="7939FD83" w14:textId="77777777" w:rsidR="00EA4D45" w:rsidRPr="00803FAA" w:rsidRDefault="00EA4D45" w:rsidP="00EA4D45">
      <w:pPr>
        <w:pStyle w:val="BodyText"/>
        <w:jc w:val="both"/>
        <w:rPr>
          <w:sz w:val="22"/>
          <w:szCs w:val="22"/>
        </w:rPr>
      </w:pPr>
    </w:p>
    <w:p w14:paraId="40BF89BE" w14:textId="77777777" w:rsidR="00EA4D45" w:rsidRPr="00723232" w:rsidRDefault="00EA4D45" w:rsidP="007F7A78">
      <w:pPr>
        <w:spacing w:before="45" w:after="45"/>
        <w:ind w:firstLine="709"/>
        <w:rPr>
          <w:rFonts w:cs="Arial"/>
          <w:b/>
          <w:szCs w:val="24"/>
        </w:rPr>
      </w:pPr>
      <w:r w:rsidRPr="00723232">
        <w:rPr>
          <w:rFonts w:cs="Arial"/>
          <w:b/>
          <w:szCs w:val="24"/>
        </w:rPr>
        <w:t xml:space="preserve">Capital Issues (Section 2) </w:t>
      </w:r>
    </w:p>
    <w:p w14:paraId="0F14214F" w14:textId="77777777" w:rsidR="00EA4D45" w:rsidRPr="00723232" w:rsidRDefault="00EA4D45" w:rsidP="004E1FB4">
      <w:pPr>
        <w:numPr>
          <w:ilvl w:val="0"/>
          <w:numId w:val="7"/>
        </w:numPr>
        <w:spacing w:before="45" w:after="45"/>
        <w:ind w:left="994" w:hanging="285"/>
        <w:jc w:val="both"/>
        <w:rPr>
          <w:rFonts w:cs="Arial"/>
          <w:szCs w:val="24"/>
        </w:rPr>
      </w:pPr>
      <w:r w:rsidRPr="00723232">
        <w:rPr>
          <w:rFonts w:cs="Arial"/>
          <w:szCs w:val="24"/>
        </w:rPr>
        <w:t xml:space="preserve">Capital Financing Summary  </w:t>
      </w:r>
    </w:p>
    <w:p w14:paraId="124E7AAA" w14:textId="6EC387E3" w:rsidR="00EA4D45" w:rsidRPr="00723232" w:rsidRDefault="00EA4D45" w:rsidP="004E1FB4">
      <w:pPr>
        <w:numPr>
          <w:ilvl w:val="0"/>
          <w:numId w:val="7"/>
        </w:numPr>
        <w:spacing w:before="45" w:after="45"/>
        <w:ind w:left="994" w:hanging="285"/>
        <w:jc w:val="both"/>
        <w:rPr>
          <w:rFonts w:cs="Arial"/>
          <w:szCs w:val="24"/>
        </w:rPr>
      </w:pPr>
      <w:r w:rsidRPr="00723232">
        <w:rPr>
          <w:rFonts w:cs="Arial"/>
          <w:szCs w:val="24"/>
        </w:rPr>
        <w:t>Capital Programme and Capital Prudential Indicators 20</w:t>
      </w:r>
      <w:r w:rsidR="0048525B">
        <w:rPr>
          <w:rFonts w:cs="Arial"/>
          <w:szCs w:val="24"/>
        </w:rPr>
        <w:t>19/20</w:t>
      </w:r>
      <w:r w:rsidRPr="00723232">
        <w:rPr>
          <w:rFonts w:cs="Arial"/>
          <w:szCs w:val="24"/>
        </w:rPr>
        <w:t xml:space="preserve"> to 202</w:t>
      </w:r>
      <w:r w:rsidR="0048525B">
        <w:rPr>
          <w:rFonts w:cs="Arial"/>
          <w:szCs w:val="24"/>
        </w:rPr>
        <w:t>3</w:t>
      </w:r>
      <w:r w:rsidRPr="00723232">
        <w:rPr>
          <w:rFonts w:cs="Arial"/>
          <w:szCs w:val="24"/>
        </w:rPr>
        <w:t>/2</w:t>
      </w:r>
      <w:r w:rsidR="0048525B">
        <w:rPr>
          <w:rFonts w:cs="Arial"/>
          <w:szCs w:val="24"/>
        </w:rPr>
        <w:t>4</w:t>
      </w:r>
    </w:p>
    <w:p w14:paraId="67C4909D" w14:textId="77777777" w:rsidR="00EA4D45" w:rsidRPr="00723232" w:rsidRDefault="00EA4D45" w:rsidP="004E1FB4">
      <w:pPr>
        <w:numPr>
          <w:ilvl w:val="0"/>
          <w:numId w:val="7"/>
        </w:numPr>
        <w:spacing w:before="45" w:after="45"/>
        <w:ind w:left="994" w:hanging="285"/>
        <w:jc w:val="both"/>
        <w:rPr>
          <w:rFonts w:cs="Arial"/>
          <w:szCs w:val="24"/>
        </w:rPr>
      </w:pPr>
      <w:r w:rsidRPr="00723232">
        <w:rPr>
          <w:rFonts w:cs="Arial"/>
          <w:szCs w:val="24"/>
        </w:rPr>
        <w:t xml:space="preserve">Council’s Borrowing Need (Capital Financing Requirement) </w:t>
      </w:r>
    </w:p>
    <w:p w14:paraId="7AECD476" w14:textId="77777777" w:rsidR="00EA4D45" w:rsidRPr="00723232" w:rsidRDefault="00EA4D45" w:rsidP="004E1FB4">
      <w:pPr>
        <w:numPr>
          <w:ilvl w:val="0"/>
          <w:numId w:val="7"/>
        </w:numPr>
        <w:spacing w:before="45" w:after="45"/>
        <w:ind w:left="1005" w:hanging="285"/>
        <w:jc w:val="both"/>
        <w:rPr>
          <w:rFonts w:cs="Arial"/>
          <w:szCs w:val="24"/>
        </w:rPr>
      </w:pPr>
      <w:r w:rsidRPr="00723232">
        <w:rPr>
          <w:rFonts w:cs="Arial"/>
          <w:szCs w:val="24"/>
        </w:rPr>
        <w:t xml:space="preserve">Capital Financing Requirement  </w:t>
      </w:r>
    </w:p>
    <w:p w14:paraId="6A9FB59D" w14:textId="77777777" w:rsidR="00EA4D45" w:rsidRPr="00723232" w:rsidRDefault="00EA4D45" w:rsidP="004E1FB4">
      <w:pPr>
        <w:numPr>
          <w:ilvl w:val="0"/>
          <w:numId w:val="7"/>
        </w:numPr>
        <w:spacing w:before="45" w:after="45"/>
        <w:ind w:left="1005" w:hanging="285"/>
        <w:jc w:val="both"/>
        <w:rPr>
          <w:rFonts w:cs="Arial"/>
          <w:szCs w:val="24"/>
        </w:rPr>
      </w:pPr>
      <w:r w:rsidRPr="00723232">
        <w:rPr>
          <w:rFonts w:cs="Arial"/>
          <w:szCs w:val="24"/>
        </w:rPr>
        <w:t xml:space="preserve">Minimum Revenue Provision (MRP) Policy Statement  </w:t>
      </w:r>
    </w:p>
    <w:p w14:paraId="0C0746E4" w14:textId="77777777" w:rsidR="00EA4D45" w:rsidRPr="00723232" w:rsidRDefault="00EA4D45" w:rsidP="004E1FB4">
      <w:pPr>
        <w:numPr>
          <w:ilvl w:val="0"/>
          <w:numId w:val="7"/>
        </w:numPr>
        <w:spacing w:before="45" w:after="45"/>
        <w:ind w:left="1005" w:hanging="285"/>
        <w:jc w:val="both"/>
        <w:rPr>
          <w:rFonts w:cs="Arial"/>
          <w:szCs w:val="24"/>
        </w:rPr>
      </w:pPr>
      <w:r w:rsidRPr="00723232">
        <w:rPr>
          <w:rFonts w:cs="Arial"/>
          <w:szCs w:val="24"/>
        </w:rPr>
        <w:t>Core funds and expected investment balances</w:t>
      </w:r>
    </w:p>
    <w:p w14:paraId="0E37602A" w14:textId="77777777" w:rsidR="00EA4D45" w:rsidRPr="00723232" w:rsidRDefault="00EA4D45" w:rsidP="00EA4D45">
      <w:pPr>
        <w:spacing w:before="45" w:after="45"/>
        <w:jc w:val="both"/>
        <w:rPr>
          <w:rFonts w:cs="Arial"/>
          <w:szCs w:val="24"/>
        </w:rPr>
      </w:pPr>
    </w:p>
    <w:p w14:paraId="7D70DBBC" w14:textId="77777777" w:rsidR="00EA4D45" w:rsidRPr="00723232" w:rsidRDefault="00EA4D45" w:rsidP="007F7A78">
      <w:pPr>
        <w:spacing w:before="45" w:after="45"/>
        <w:ind w:firstLine="720"/>
        <w:rPr>
          <w:rFonts w:cs="Arial"/>
          <w:b/>
          <w:szCs w:val="24"/>
        </w:rPr>
      </w:pPr>
      <w:r w:rsidRPr="00723232">
        <w:rPr>
          <w:rFonts w:cs="Arial"/>
          <w:b/>
          <w:szCs w:val="24"/>
        </w:rPr>
        <w:t xml:space="preserve">Borrowing (Section 3) </w:t>
      </w:r>
    </w:p>
    <w:p w14:paraId="6DAAA924" w14:textId="77777777" w:rsidR="00EA4D45" w:rsidRPr="00723232" w:rsidRDefault="00EA4D45" w:rsidP="004E1FB4">
      <w:pPr>
        <w:numPr>
          <w:ilvl w:val="0"/>
          <w:numId w:val="7"/>
        </w:numPr>
        <w:spacing w:before="45" w:after="45"/>
        <w:ind w:left="1005" w:hanging="285"/>
        <w:jc w:val="both"/>
        <w:rPr>
          <w:rFonts w:cs="Arial"/>
          <w:szCs w:val="24"/>
        </w:rPr>
      </w:pPr>
      <w:r w:rsidRPr="00723232">
        <w:rPr>
          <w:rFonts w:cs="Arial"/>
          <w:szCs w:val="24"/>
        </w:rPr>
        <w:t xml:space="preserve">Current and estimated portfolio position  </w:t>
      </w:r>
    </w:p>
    <w:p w14:paraId="4727AF02" w14:textId="77777777" w:rsidR="00EA4D45" w:rsidRPr="00723232" w:rsidRDefault="00EA4D45" w:rsidP="004E1FB4">
      <w:pPr>
        <w:numPr>
          <w:ilvl w:val="0"/>
          <w:numId w:val="7"/>
        </w:numPr>
        <w:spacing w:before="45" w:after="45"/>
        <w:ind w:left="1005" w:hanging="285"/>
        <w:jc w:val="both"/>
        <w:rPr>
          <w:rFonts w:cs="Arial"/>
          <w:szCs w:val="24"/>
        </w:rPr>
      </w:pPr>
      <w:r w:rsidRPr="00723232">
        <w:rPr>
          <w:rFonts w:cs="Arial"/>
          <w:szCs w:val="24"/>
        </w:rPr>
        <w:t xml:space="preserve">Treasury indicators: limits to borrowing activity  </w:t>
      </w:r>
    </w:p>
    <w:p w14:paraId="5871ACFA" w14:textId="77777777" w:rsidR="00EA4D45" w:rsidRPr="00723232" w:rsidRDefault="00EA4D45" w:rsidP="004E1FB4">
      <w:pPr>
        <w:numPr>
          <w:ilvl w:val="0"/>
          <w:numId w:val="7"/>
        </w:numPr>
        <w:spacing w:before="45" w:after="45"/>
        <w:ind w:left="1005" w:hanging="285"/>
        <w:jc w:val="both"/>
        <w:rPr>
          <w:rFonts w:cs="Arial"/>
          <w:szCs w:val="24"/>
        </w:rPr>
      </w:pPr>
      <w:r w:rsidRPr="00723232">
        <w:rPr>
          <w:rFonts w:cs="Arial"/>
          <w:szCs w:val="24"/>
        </w:rPr>
        <w:t xml:space="preserve">Prospects for interest rates and economic commentary  </w:t>
      </w:r>
    </w:p>
    <w:p w14:paraId="1C05D714" w14:textId="77777777" w:rsidR="00EA4D45" w:rsidRPr="00723232" w:rsidRDefault="00EA4D45" w:rsidP="004E1FB4">
      <w:pPr>
        <w:numPr>
          <w:ilvl w:val="0"/>
          <w:numId w:val="7"/>
        </w:numPr>
        <w:spacing w:before="45" w:after="45"/>
        <w:ind w:left="1005" w:hanging="285"/>
        <w:jc w:val="both"/>
        <w:rPr>
          <w:rFonts w:cs="Arial"/>
          <w:szCs w:val="24"/>
        </w:rPr>
      </w:pPr>
      <w:r w:rsidRPr="00723232">
        <w:rPr>
          <w:rFonts w:cs="Arial"/>
          <w:szCs w:val="24"/>
        </w:rPr>
        <w:t xml:space="preserve">Borrowing strategy  </w:t>
      </w:r>
    </w:p>
    <w:p w14:paraId="2718CF18" w14:textId="77777777" w:rsidR="00EA4D45" w:rsidRPr="00723232" w:rsidRDefault="00EA4D45" w:rsidP="004E1FB4">
      <w:pPr>
        <w:numPr>
          <w:ilvl w:val="0"/>
          <w:numId w:val="7"/>
        </w:numPr>
        <w:spacing w:before="45" w:after="45"/>
        <w:ind w:left="1005" w:hanging="285"/>
        <w:jc w:val="both"/>
        <w:rPr>
          <w:rFonts w:cs="Arial"/>
          <w:szCs w:val="24"/>
        </w:rPr>
      </w:pPr>
      <w:r w:rsidRPr="00723232">
        <w:rPr>
          <w:rFonts w:cs="Arial"/>
          <w:szCs w:val="24"/>
        </w:rPr>
        <w:t xml:space="preserve">Treasury management limits on activity  </w:t>
      </w:r>
    </w:p>
    <w:p w14:paraId="7DCD815D" w14:textId="77777777" w:rsidR="00EA4D45" w:rsidRPr="00723232" w:rsidRDefault="00EA4D45" w:rsidP="004E1FB4">
      <w:pPr>
        <w:numPr>
          <w:ilvl w:val="0"/>
          <w:numId w:val="7"/>
        </w:numPr>
        <w:spacing w:before="45" w:after="45"/>
        <w:ind w:left="1005" w:hanging="285"/>
        <w:jc w:val="both"/>
        <w:rPr>
          <w:rFonts w:cs="Arial"/>
          <w:szCs w:val="24"/>
        </w:rPr>
      </w:pPr>
      <w:r w:rsidRPr="00723232">
        <w:rPr>
          <w:rFonts w:cs="Arial"/>
          <w:szCs w:val="24"/>
        </w:rPr>
        <w:t xml:space="preserve">Policy on borrowing in advance of need </w:t>
      </w:r>
    </w:p>
    <w:p w14:paraId="4FE8CF16" w14:textId="77777777" w:rsidR="00EA4D45" w:rsidRPr="00723232" w:rsidRDefault="00EA4D45" w:rsidP="004E1FB4">
      <w:pPr>
        <w:numPr>
          <w:ilvl w:val="0"/>
          <w:numId w:val="7"/>
        </w:numPr>
        <w:spacing w:before="45" w:after="45"/>
        <w:ind w:left="1005" w:hanging="285"/>
        <w:jc w:val="both"/>
        <w:rPr>
          <w:rFonts w:cs="Arial"/>
          <w:szCs w:val="24"/>
        </w:rPr>
      </w:pPr>
      <w:r w:rsidRPr="00723232">
        <w:rPr>
          <w:rFonts w:cs="Arial"/>
          <w:szCs w:val="24"/>
        </w:rPr>
        <w:t xml:space="preserve">Debt rescheduling </w:t>
      </w:r>
    </w:p>
    <w:p w14:paraId="315D5409" w14:textId="77777777" w:rsidR="00EA4D45" w:rsidRPr="00723232" w:rsidRDefault="00EA4D45" w:rsidP="004E1FB4">
      <w:pPr>
        <w:numPr>
          <w:ilvl w:val="0"/>
          <w:numId w:val="7"/>
        </w:numPr>
        <w:spacing w:before="45" w:after="45"/>
        <w:ind w:left="1005" w:hanging="285"/>
        <w:jc w:val="both"/>
        <w:rPr>
          <w:rFonts w:cs="Arial"/>
          <w:szCs w:val="24"/>
        </w:rPr>
      </w:pPr>
      <w:r w:rsidRPr="00723232">
        <w:rPr>
          <w:rFonts w:cs="Arial"/>
          <w:szCs w:val="24"/>
        </w:rPr>
        <w:t xml:space="preserve">New financial institutions as a source of borrowing and / or types of borrowing (if applicable) </w:t>
      </w:r>
    </w:p>
    <w:p w14:paraId="646DBD53" w14:textId="77777777" w:rsidR="00EA4D45" w:rsidRPr="00723232" w:rsidRDefault="00EA4D45" w:rsidP="004E1FB4">
      <w:pPr>
        <w:numPr>
          <w:ilvl w:val="0"/>
          <w:numId w:val="7"/>
        </w:numPr>
        <w:spacing w:before="45" w:after="45"/>
        <w:ind w:left="1005" w:hanging="285"/>
        <w:jc w:val="both"/>
        <w:rPr>
          <w:rFonts w:cs="Arial"/>
          <w:szCs w:val="24"/>
        </w:rPr>
      </w:pPr>
      <w:r w:rsidRPr="00723232">
        <w:rPr>
          <w:rFonts w:cs="Arial"/>
          <w:szCs w:val="24"/>
        </w:rPr>
        <w:t>Approved sources of long and short term borrowing</w:t>
      </w:r>
    </w:p>
    <w:p w14:paraId="6105141C" w14:textId="77777777" w:rsidR="00EA4D45" w:rsidRPr="00723232" w:rsidRDefault="00EA4D45" w:rsidP="00EA4D45">
      <w:pPr>
        <w:spacing w:before="45" w:after="45"/>
        <w:jc w:val="both"/>
        <w:rPr>
          <w:rFonts w:cs="Arial"/>
          <w:szCs w:val="24"/>
        </w:rPr>
      </w:pPr>
    </w:p>
    <w:p w14:paraId="1AE152C9" w14:textId="77777777" w:rsidR="00EA4D45" w:rsidRPr="00723232" w:rsidRDefault="00EA4D45" w:rsidP="007F7A78">
      <w:pPr>
        <w:spacing w:before="45" w:after="45"/>
        <w:ind w:firstLine="720"/>
        <w:rPr>
          <w:rFonts w:cs="Arial"/>
          <w:b/>
          <w:szCs w:val="24"/>
        </w:rPr>
      </w:pPr>
      <w:r w:rsidRPr="00723232">
        <w:rPr>
          <w:rFonts w:cs="Arial"/>
          <w:b/>
          <w:szCs w:val="24"/>
        </w:rPr>
        <w:t xml:space="preserve">Annual Investment Strategy (Section 4) </w:t>
      </w:r>
    </w:p>
    <w:p w14:paraId="5131AFFA" w14:textId="77777777" w:rsidR="00EA4D45" w:rsidRPr="00723232" w:rsidRDefault="00EA4D45" w:rsidP="004E1FB4">
      <w:pPr>
        <w:numPr>
          <w:ilvl w:val="0"/>
          <w:numId w:val="7"/>
        </w:numPr>
        <w:spacing w:before="45" w:after="45"/>
        <w:ind w:left="1005" w:hanging="285"/>
        <w:jc w:val="both"/>
        <w:rPr>
          <w:rFonts w:cs="Arial"/>
          <w:szCs w:val="24"/>
        </w:rPr>
      </w:pPr>
      <w:r w:rsidRPr="00723232">
        <w:rPr>
          <w:rFonts w:cs="Arial"/>
          <w:szCs w:val="24"/>
        </w:rPr>
        <w:t xml:space="preserve">Investment policy </w:t>
      </w:r>
    </w:p>
    <w:p w14:paraId="7A38E42E" w14:textId="77777777" w:rsidR="00EA4D45" w:rsidRPr="00723232" w:rsidRDefault="00EA4D45" w:rsidP="004E1FB4">
      <w:pPr>
        <w:numPr>
          <w:ilvl w:val="0"/>
          <w:numId w:val="7"/>
        </w:numPr>
        <w:spacing w:before="45" w:after="45"/>
        <w:ind w:left="1005" w:hanging="285"/>
        <w:jc w:val="both"/>
        <w:rPr>
          <w:rFonts w:cs="Arial"/>
          <w:szCs w:val="24"/>
        </w:rPr>
      </w:pPr>
      <w:r w:rsidRPr="00723232">
        <w:rPr>
          <w:rFonts w:cs="Arial"/>
          <w:szCs w:val="24"/>
        </w:rPr>
        <w:t xml:space="preserve">Creditworthiness policy </w:t>
      </w:r>
    </w:p>
    <w:p w14:paraId="7396BB29" w14:textId="77777777" w:rsidR="00EA4D45" w:rsidRPr="00723232" w:rsidRDefault="00EA4D45" w:rsidP="004E1FB4">
      <w:pPr>
        <w:numPr>
          <w:ilvl w:val="0"/>
          <w:numId w:val="7"/>
        </w:numPr>
        <w:spacing w:before="45" w:after="45"/>
        <w:ind w:left="1005" w:hanging="285"/>
        <w:jc w:val="both"/>
        <w:rPr>
          <w:rFonts w:cs="Arial"/>
          <w:szCs w:val="24"/>
        </w:rPr>
      </w:pPr>
      <w:r w:rsidRPr="00723232">
        <w:rPr>
          <w:rFonts w:cs="Arial"/>
          <w:szCs w:val="24"/>
        </w:rPr>
        <w:t xml:space="preserve">Country limits </w:t>
      </w:r>
    </w:p>
    <w:p w14:paraId="7896F6DF" w14:textId="77777777" w:rsidR="00EA4D45" w:rsidRPr="00723232" w:rsidRDefault="00EA4D45" w:rsidP="004E1FB4">
      <w:pPr>
        <w:numPr>
          <w:ilvl w:val="0"/>
          <w:numId w:val="7"/>
        </w:numPr>
        <w:spacing w:before="45" w:after="45"/>
        <w:ind w:left="1005" w:hanging="285"/>
        <w:jc w:val="both"/>
        <w:rPr>
          <w:rFonts w:cs="Arial"/>
          <w:szCs w:val="24"/>
        </w:rPr>
      </w:pPr>
      <w:r w:rsidRPr="00723232">
        <w:rPr>
          <w:rFonts w:cs="Arial"/>
          <w:szCs w:val="24"/>
        </w:rPr>
        <w:t xml:space="preserve">Annual Investment Strategy </w:t>
      </w:r>
    </w:p>
    <w:p w14:paraId="5289C744" w14:textId="69B43FCD" w:rsidR="00EA4D45" w:rsidRPr="00723232" w:rsidRDefault="00EA4D45" w:rsidP="004E1FB4">
      <w:pPr>
        <w:numPr>
          <w:ilvl w:val="0"/>
          <w:numId w:val="7"/>
        </w:numPr>
        <w:spacing w:before="45" w:after="45"/>
        <w:ind w:left="1005" w:hanging="285"/>
        <w:jc w:val="both"/>
        <w:rPr>
          <w:rFonts w:cs="Arial"/>
          <w:szCs w:val="24"/>
        </w:rPr>
      </w:pPr>
      <w:r w:rsidRPr="00723232">
        <w:rPr>
          <w:rFonts w:cs="Arial"/>
          <w:szCs w:val="24"/>
        </w:rPr>
        <w:t xml:space="preserve">Investment risk benchmarking </w:t>
      </w:r>
    </w:p>
    <w:p w14:paraId="0AAE5818" w14:textId="77777777" w:rsidR="00EA4D45" w:rsidRPr="00723232" w:rsidRDefault="00EA4D45" w:rsidP="004E1FB4">
      <w:pPr>
        <w:numPr>
          <w:ilvl w:val="0"/>
          <w:numId w:val="7"/>
        </w:numPr>
        <w:spacing w:before="45" w:after="45"/>
        <w:ind w:left="1005" w:hanging="285"/>
        <w:jc w:val="both"/>
        <w:rPr>
          <w:rFonts w:cs="Arial"/>
          <w:szCs w:val="24"/>
        </w:rPr>
      </w:pPr>
      <w:r w:rsidRPr="00723232">
        <w:rPr>
          <w:rFonts w:cs="Arial"/>
          <w:szCs w:val="24"/>
        </w:rPr>
        <w:t>End of year investment report</w:t>
      </w:r>
    </w:p>
    <w:p w14:paraId="5D7642C5" w14:textId="77777777" w:rsidR="00EA4D45" w:rsidRPr="00723232" w:rsidRDefault="00EA4D45" w:rsidP="00EA4D45">
      <w:pPr>
        <w:spacing w:before="45" w:after="45"/>
        <w:jc w:val="both"/>
        <w:rPr>
          <w:rFonts w:cs="Arial"/>
          <w:szCs w:val="24"/>
        </w:rPr>
      </w:pPr>
    </w:p>
    <w:p w14:paraId="1CEC664C" w14:textId="77777777" w:rsidR="00EA4D45" w:rsidRPr="00723232" w:rsidRDefault="00EA4D45" w:rsidP="007F7A78">
      <w:pPr>
        <w:spacing w:before="45" w:after="45"/>
        <w:ind w:firstLine="720"/>
        <w:jc w:val="both"/>
        <w:rPr>
          <w:rFonts w:cs="Arial"/>
          <w:b/>
          <w:bCs/>
          <w:szCs w:val="24"/>
        </w:rPr>
      </w:pPr>
      <w:r w:rsidRPr="00723232">
        <w:rPr>
          <w:rFonts w:cs="Arial"/>
          <w:b/>
          <w:bCs/>
          <w:szCs w:val="24"/>
        </w:rPr>
        <w:t>Other Treasury Issues (Section 5)</w:t>
      </w:r>
    </w:p>
    <w:p w14:paraId="341D2636" w14:textId="77777777" w:rsidR="00EA4D45" w:rsidRPr="00723232" w:rsidRDefault="00EA4D45" w:rsidP="004E1FB4">
      <w:pPr>
        <w:numPr>
          <w:ilvl w:val="0"/>
          <w:numId w:val="7"/>
        </w:numPr>
        <w:spacing w:before="45" w:after="45"/>
        <w:ind w:left="1005" w:hanging="285"/>
        <w:jc w:val="both"/>
        <w:rPr>
          <w:rFonts w:cs="Arial"/>
          <w:szCs w:val="24"/>
        </w:rPr>
      </w:pPr>
      <w:r w:rsidRPr="00723232">
        <w:rPr>
          <w:rFonts w:cs="Arial"/>
          <w:szCs w:val="24"/>
        </w:rPr>
        <w:t xml:space="preserve">Policy on the use of financial derivatives </w:t>
      </w:r>
    </w:p>
    <w:p w14:paraId="5D4FACB9" w14:textId="77777777" w:rsidR="00EA4D45" w:rsidRPr="00723232" w:rsidRDefault="00EA4D45" w:rsidP="004E1FB4">
      <w:pPr>
        <w:numPr>
          <w:ilvl w:val="0"/>
          <w:numId w:val="7"/>
        </w:numPr>
        <w:spacing w:before="45" w:after="45"/>
        <w:ind w:left="1005" w:hanging="285"/>
        <w:jc w:val="both"/>
        <w:rPr>
          <w:rFonts w:cs="Arial"/>
          <w:szCs w:val="24"/>
        </w:rPr>
      </w:pPr>
      <w:r w:rsidRPr="00723232">
        <w:rPr>
          <w:rFonts w:cs="Arial"/>
          <w:szCs w:val="24"/>
        </w:rPr>
        <w:t xml:space="preserve">Brokers </w:t>
      </w:r>
    </w:p>
    <w:p w14:paraId="54A21D82" w14:textId="77777777" w:rsidR="00EA4D45" w:rsidRPr="00723232" w:rsidRDefault="00EA4D45" w:rsidP="004E1FB4">
      <w:pPr>
        <w:numPr>
          <w:ilvl w:val="0"/>
          <w:numId w:val="7"/>
        </w:numPr>
        <w:spacing w:before="45" w:after="45"/>
        <w:ind w:left="1005" w:hanging="285"/>
        <w:jc w:val="both"/>
        <w:rPr>
          <w:rFonts w:cs="Arial"/>
          <w:szCs w:val="24"/>
        </w:rPr>
      </w:pPr>
      <w:r w:rsidRPr="00723232">
        <w:rPr>
          <w:rFonts w:cs="Arial"/>
          <w:szCs w:val="24"/>
        </w:rPr>
        <w:t xml:space="preserve">Member and Officer Training </w:t>
      </w:r>
    </w:p>
    <w:p w14:paraId="6A52D812" w14:textId="77777777" w:rsidR="00EA4D45" w:rsidRPr="00723232" w:rsidRDefault="00EA4D45" w:rsidP="004E1FB4">
      <w:pPr>
        <w:numPr>
          <w:ilvl w:val="0"/>
          <w:numId w:val="7"/>
        </w:numPr>
        <w:spacing w:before="45" w:after="45"/>
        <w:ind w:left="994" w:hanging="285"/>
        <w:jc w:val="both"/>
        <w:rPr>
          <w:rFonts w:cs="Arial"/>
          <w:szCs w:val="24"/>
        </w:rPr>
      </w:pPr>
      <w:r w:rsidRPr="00723232">
        <w:rPr>
          <w:rFonts w:cs="Arial"/>
          <w:szCs w:val="24"/>
        </w:rPr>
        <w:t>Policy on use of external service providers</w:t>
      </w:r>
    </w:p>
    <w:p w14:paraId="0C855DF9" w14:textId="77777777" w:rsidR="00EA4D45" w:rsidRPr="00723232" w:rsidRDefault="00EA4D45" w:rsidP="00EA4D45">
      <w:pPr>
        <w:pStyle w:val="BodyText"/>
        <w:jc w:val="both"/>
        <w:rPr>
          <w:szCs w:val="24"/>
        </w:rPr>
      </w:pPr>
    </w:p>
    <w:p w14:paraId="7372C9B5" w14:textId="77777777" w:rsidR="00EA4D45" w:rsidRPr="007F7A78" w:rsidRDefault="00EA4D45" w:rsidP="004E1FB4">
      <w:pPr>
        <w:pStyle w:val="ListParagraph"/>
        <w:numPr>
          <w:ilvl w:val="1"/>
          <w:numId w:val="2"/>
        </w:numPr>
        <w:tabs>
          <w:tab w:val="num" w:pos="709"/>
        </w:tabs>
        <w:ind w:left="709" w:hanging="709"/>
        <w:jc w:val="both"/>
        <w:rPr>
          <w:rFonts w:cs="Arial"/>
          <w:szCs w:val="24"/>
          <w:lang w:eastAsia="en-GB"/>
        </w:rPr>
      </w:pPr>
      <w:r w:rsidRPr="007F7A78">
        <w:rPr>
          <w:rFonts w:cs="Arial"/>
          <w:szCs w:val="24"/>
          <w:lang w:eastAsia="en-GB"/>
        </w:rPr>
        <w:lastRenderedPageBreak/>
        <w:t>These Treasury Management elements cover the requirements of the Local Government Act 2003, the CIPFA Prudential Code, Ministry of Housing, Communities and Local Government (MHCLG) MRP Guidance, the CIPFA Treasury Management Code and MHCLG Investment Guidance. This Annual Treasury Management Strategy covers only those investments arising from the Council’s cash flows and debt management activity. In accordance with the Code and recognised best practice guidelines, the security and liquidity of funds are placed ahead of investment return/yield. The power to invest is set out in the Local Government Act, Section 12Treasury management consultants</w:t>
      </w:r>
    </w:p>
    <w:p w14:paraId="15B1240F" w14:textId="77777777" w:rsidR="00EA4D45" w:rsidRPr="00894B39" w:rsidRDefault="00EA4D45" w:rsidP="00EA4D45">
      <w:pPr>
        <w:pStyle w:val="BodyText"/>
        <w:jc w:val="both"/>
        <w:rPr>
          <w:sz w:val="22"/>
          <w:szCs w:val="22"/>
        </w:rPr>
      </w:pPr>
    </w:p>
    <w:p w14:paraId="04817074" w14:textId="771D854F" w:rsidR="00EA4D45" w:rsidRPr="0081234A" w:rsidRDefault="00EA4D45" w:rsidP="0081234A">
      <w:pPr>
        <w:pStyle w:val="ListParagraph"/>
        <w:numPr>
          <w:ilvl w:val="1"/>
          <w:numId w:val="2"/>
        </w:numPr>
        <w:tabs>
          <w:tab w:val="num" w:pos="709"/>
        </w:tabs>
        <w:ind w:left="709" w:hanging="709"/>
        <w:jc w:val="both"/>
        <w:rPr>
          <w:rFonts w:cs="Arial"/>
          <w:szCs w:val="24"/>
          <w:lang w:eastAsia="en-GB"/>
        </w:rPr>
      </w:pPr>
      <w:r w:rsidRPr="0081234A">
        <w:rPr>
          <w:rFonts w:cs="Arial"/>
          <w:szCs w:val="24"/>
          <w:lang w:eastAsia="en-GB"/>
        </w:rPr>
        <w:t xml:space="preserve">It is not considered necessary to produce a separate treasury management strategy for the Housing Revenue Account (HRA) in light of the co-mingling of historic debt and investments between HRA and the General Fund. Where appropriate, details of allocations of balances and interest to HRA are contained in this report.  </w:t>
      </w:r>
    </w:p>
    <w:p w14:paraId="564F187F" w14:textId="77777777" w:rsidR="00023AE5" w:rsidRDefault="00023AE5" w:rsidP="0073614E">
      <w:pPr>
        <w:ind w:left="1134" w:hanging="425"/>
        <w:jc w:val="both"/>
        <w:rPr>
          <w:rFonts w:cs="Arial"/>
          <w:color w:val="000000"/>
          <w:szCs w:val="24"/>
        </w:rPr>
      </w:pPr>
    </w:p>
    <w:p w14:paraId="336B9388" w14:textId="15BCB6BF" w:rsidR="003028F9" w:rsidRPr="00887A59" w:rsidRDefault="007F7A78" w:rsidP="007F7A78">
      <w:pPr>
        <w:rPr>
          <w:rFonts w:cs="Arial"/>
          <w:b/>
          <w:szCs w:val="24"/>
        </w:rPr>
      </w:pPr>
      <w:r>
        <w:rPr>
          <w:rFonts w:cs="Arial"/>
          <w:b/>
          <w:sz w:val="28"/>
          <w:szCs w:val="28"/>
        </w:rPr>
        <w:t xml:space="preserve">2. </w:t>
      </w:r>
      <w:r>
        <w:rPr>
          <w:rFonts w:cs="Arial"/>
          <w:b/>
          <w:sz w:val="28"/>
          <w:szCs w:val="28"/>
        </w:rPr>
        <w:tab/>
      </w:r>
      <w:r w:rsidRPr="00887A59">
        <w:rPr>
          <w:b/>
          <w:sz w:val="28"/>
          <w:szCs w:val="28"/>
        </w:rPr>
        <w:t>Capital Issues</w:t>
      </w:r>
    </w:p>
    <w:p w14:paraId="627FCFA8" w14:textId="77777777" w:rsidR="007F7A78" w:rsidRDefault="007F7A78" w:rsidP="007F7A78">
      <w:pPr>
        <w:jc w:val="both"/>
        <w:rPr>
          <w:rFonts w:cs="Arial"/>
          <w:szCs w:val="24"/>
        </w:rPr>
      </w:pPr>
    </w:p>
    <w:p w14:paraId="113E4736" w14:textId="1D3E8A2F" w:rsidR="007F7A78" w:rsidRDefault="007F7A78" w:rsidP="004E1FB4">
      <w:pPr>
        <w:pStyle w:val="ListParagraph"/>
        <w:numPr>
          <w:ilvl w:val="1"/>
          <w:numId w:val="9"/>
        </w:numPr>
        <w:ind w:left="709" w:hanging="709"/>
        <w:jc w:val="both"/>
        <w:rPr>
          <w:rFonts w:cs="Arial"/>
          <w:szCs w:val="24"/>
          <w:lang w:eastAsia="en-GB"/>
        </w:rPr>
      </w:pPr>
      <w:r w:rsidRPr="007F7A78">
        <w:rPr>
          <w:rFonts w:cs="Arial"/>
          <w:szCs w:val="24"/>
          <w:lang w:eastAsia="en-GB"/>
        </w:rPr>
        <w:t>The Council’s capital expenditure plans are the key driver of treasury management activity. The output of the capital expenditure plans is reflected in the prudential indicators, which are designed to assist members’ overview and confirm capital expenditure plans.</w:t>
      </w:r>
    </w:p>
    <w:p w14:paraId="0347DCF5" w14:textId="77777777" w:rsidR="007F7A78" w:rsidRDefault="007F7A78" w:rsidP="0039072F">
      <w:pPr>
        <w:pStyle w:val="ListParagraph"/>
        <w:ind w:left="709" w:hanging="709"/>
        <w:jc w:val="both"/>
        <w:rPr>
          <w:rFonts w:cs="Arial"/>
          <w:szCs w:val="24"/>
          <w:lang w:eastAsia="en-GB"/>
        </w:rPr>
      </w:pPr>
    </w:p>
    <w:p w14:paraId="47BFBD0A" w14:textId="4D80C19B" w:rsidR="00C044B6" w:rsidRDefault="007F7A78" w:rsidP="004E1FB4">
      <w:pPr>
        <w:pStyle w:val="ListParagraph"/>
        <w:numPr>
          <w:ilvl w:val="1"/>
          <w:numId w:val="9"/>
        </w:numPr>
        <w:ind w:left="709" w:hanging="709"/>
        <w:jc w:val="both"/>
        <w:rPr>
          <w:rFonts w:cs="Arial"/>
          <w:szCs w:val="24"/>
          <w:lang w:eastAsia="en-GB"/>
        </w:rPr>
      </w:pPr>
      <w:r w:rsidRPr="007F7A78">
        <w:rPr>
          <w:rFonts w:cs="Arial"/>
          <w:szCs w:val="24"/>
          <w:lang w:eastAsia="en-GB"/>
        </w:rPr>
        <w:t xml:space="preserve">The figures and tables in this report are based on the final Capital Programme which is set out in a separate report to Cabinet. </w:t>
      </w:r>
    </w:p>
    <w:p w14:paraId="3A21E2D3" w14:textId="77777777" w:rsidR="007F7A78" w:rsidRPr="007F7A78" w:rsidRDefault="007F7A78" w:rsidP="007F7A78">
      <w:pPr>
        <w:pStyle w:val="ListParagraph"/>
        <w:rPr>
          <w:rFonts w:cs="Arial"/>
          <w:szCs w:val="24"/>
          <w:lang w:eastAsia="en-GB"/>
        </w:rPr>
      </w:pPr>
    </w:p>
    <w:p w14:paraId="5F9033D9" w14:textId="33C07593" w:rsidR="007F7A78" w:rsidRPr="0039072F" w:rsidRDefault="007F7A78" w:rsidP="007F7A78">
      <w:pPr>
        <w:pStyle w:val="ListParagraph"/>
        <w:ind w:left="709"/>
        <w:jc w:val="both"/>
        <w:rPr>
          <w:rFonts w:cs="Arial"/>
          <w:b/>
          <w:bCs/>
          <w:szCs w:val="24"/>
          <w:lang w:eastAsia="en-GB"/>
        </w:rPr>
      </w:pPr>
      <w:r w:rsidRPr="0039072F">
        <w:rPr>
          <w:rFonts w:cs="Arial"/>
          <w:b/>
          <w:bCs/>
          <w:szCs w:val="24"/>
          <w:lang w:eastAsia="en-GB"/>
        </w:rPr>
        <w:t>Capital Expenditure</w:t>
      </w:r>
    </w:p>
    <w:p w14:paraId="4C9E9F92" w14:textId="77777777" w:rsidR="00023AE5" w:rsidRDefault="00023AE5" w:rsidP="00DA09E0">
      <w:pPr>
        <w:ind w:left="567" w:hanging="567"/>
        <w:jc w:val="both"/>
        <w:rPr>
          <w:rFonts w:cs="Arial"/>
          <w:bCs/>
          <w:szCs w:val="24"/>
          <w:lang w:eastAsia="en-GB"/>
        </w:rPr>
      </w:pPr>
    </w:p>
    <w:p w14:paraId="21DAE5B5" w14:textId="39000CD2" w:rsidR="007F7A78" w:rsidRPr="007F7A78" w:rsidRDefault="007F7A78" w:rsidP="004E1FB4">
      <w:pPr>
        <w:pStyle w:val="ListParagraph"/>
        <w:numPr>
          <w:ilvl w:val="1"/>
          <w:numId w:val="9"/>
        </w:numPr>
        <w:ind w:left="709" w:hanging="709"/>
        <w:jc w:val="both"/>
        <w:rPr>
          <w:rFonts w:cs="Arial"/>
          <w:szCs w:val="24"/>
          <w:lang w:eastAsia="en-GB"/>
        </w:rPr>
      </w:pPr>
      <w:r w:rsidRPr="007F7A78">
        <w:rPr>
          <w:rFonts w:cs="Arial"/>
          <w:szCs w:val="24"/>
          <w:lang w:eastAsia="en-GB"/>
        </w:rPr>
        <w:t>This prudential indicator is a summary of the Council’s capital expenditure plans, both those agreed previously, and those forming part of this budget cycle.</w:t>
      </w:r>
    </w:p>
    <w:p w14:paraId="65AB16A9" w14:textId="77777777" w:rsidR="007F7A78" w:rsidRPr="007F7A78" w:rsidRDefault="007F7A78" w:rsidP="0039072F">
      <w:pPr>
        <w:pStyle w:val="ListParagraph"/>
        <w:ind w:left="709" w:hanging="709"/>
        <w:jc w:val="both"/>
        <w:rPr>
          <w:rFonts w:cs="Arial"/>
          <w:szCs w:val="24"/>
          <w:lang w:eastAsia="en-GB"/>
        </w:rPr>
      </w:pPr>
    </w:p>
    <w:p w14:paraId="6F913D4A" w14:textId="51F8A7C2" w:rsidR="007F7A78" w:rsidRPr="007F7A78" w:rsidRDefault="007F7A78" w:rsidP="004E1FB4">
      <w:pPr>
        <w:pStyle w:val="ListParagraph"/>
        <w:numPr>
          <w:ilvl w:val="1"/>
          <w:numId w:val="9"/>
        </w:numPr>
        <w:ind w:left="709" w:hanging="709"/>
        <w:jc w:val="both"/>
        <w:rPr>
          <w:rFonts w:cs="Arial"/>
          <w:szCs w:val="24"/>
          <w:lang w:eastAsia="en-GB"/>
        </w:rPr>
      </w:pPr>
      <w:r w:rsidRPr="007F7A78">
        <w:rPr>
          <w:rFonts w:cs="Arial"/>
          <w:szCs w:val="24"/>
          <w:lang w:eastAsia="en-GB"/>
        </w:rPr>
        <w:t>As part of the 2021/22 budget cycle and in light of the current financial situation coupled with slippage on schemes in previous years</w:t>
      </w:r>
      <w:r>
        <w:rPr>
          <w:rFonts w:cs="Arial"/>
          <w:szCs w:val="24"/>
          <w:lang w:eastAsia="en-GB"/>
        </w:rPr>
        <w:t>,</w:t>
      </w:r>
      <w:r w:rsidRPr="007F7A78">
        <w:rPr>
          <w:rFonts w:cs="Arial"/>
          <w:szCs w:val="24"/>
          <w:lang w:eastAsia="en-GB"/>
        </w:rPr>
        <w:t xml:space="preserve"> Service Directorates carried out a review of the Capital Programme using a bottom up approach to ensure the capital programme represents capital investment that is necessary up to financial year 2023/24.  Revised estimates for 2020/21 have also been included in the review due to the impact of the pandemic on this years capital programme.</w:t>
      </w:r>
    </w:p>
    <w:p w14:paraId="31E92F4D" w14:textId="77777777" w:rsidR="007F7A78" w:rsidRPr="007F7A78" w:rsidRDefault="007F7A78" w:rsidP="0039072F">
      <w:pPr>
        <w:pStyle w:val="ListParagraph"/>
        <w:ind w:left="709" w:hanging="709"/>
        <w:jc w:val="both"/>
        <w:rPr>
          <w:rFonts w:cs="Arial"/>
          <w:szCs w:val="24"/>
          <w:lang w:eastAsia="en-GB"/>
        </w:rPr>
      </w:pPr>
    </w:p>
    <w:p w14:paraId="59C87AB5" w14:textId="1D49B1EB" w:rsidR="007F7A78" w:rsidRDefault="00710EAC" w:rsidP="004E1FB4">
      <w:pPr>
        <w:pStyle w:val="ListParagraph"/>
        <w:numPr>
          <w:ilvl w:val="1"/>
          <w:numId w:val="9"/>
        </w:numPr>
        <w:ind w:left="709" w:hanging="709"/>
        <w:jc w:val="both"/>
        <w:rPr>
          <w:rFonts w:cs="Arial"/>
          <w:szCs w:val="24"/>
          <w:lang w:eastAsia="en-GB"/>
        </w:rPr>
      </w:pPr>
      <w:r>
        <w:rPr>
          <w:rFonts w:cs="Arial"/>
          <w:szCs w:val="24"/>
          <w:lang w:eastAsia="en-GB"/>
        </w:rPr>
        <w:t xml:space="preserve">Table 1 &amp; 2 below show the planned capital expenditure and how it will </w:t>
      </w:r>
      <w:r w:rsidR="00F56220">
        <w:rPr>
          <w:rFonts w:cs="Arial"/>
          <w:szCs w:val="24"/>
          <w:lang w:eastAsia="en-GB"/>
        </w:rPr>
        <w:t>be funded:</w:t>
      </w:r>
    </w:p>
    <w:p w14:paraId="11EDC290" w14:textId="77777777" w:rsidR="00F56220" w:rsidRPr="00F56220" w:rsidRDefault="00F56220" w:rsidP="00F56220">
      <w:pPr>
        <w:pStyle w:val="ListParagraph"/>
        <w:rPr>
          <w:rFonts w:cs="Arial"/>
          <w:szCs w:val="24"/>
          <w:lang w:eastAsia="en-GB"/>
        </w:rPr>
      </w:pPr>
    </w:p>
    <w:p w14:paraId="2F3B530C" w14:textId="5CD079AB" w:rsidR="00F56220" w:rsidRDefault="00F56220" w:rsidP="00F56220">
      <w:pPr>
        <w:jc w:val="both"/>
        <w:rPr>
          <w:rFonts w:cs="Arial"/>
          <w:szCs w:val="24"/>
          <w:lang w:eastAsia="en-GB"/>
        </w:rPr>
      </w:pPr>
    </w:p>
    <w:p w14:paraId="44D87FBE" w14:textId="40A98812" w:rsidR="00F56220" w:rsidRDefault="00F56220" w:rsidP="00F56220">
      <w:pPr>
        <w:jc w:val="both"/>
        <w:rPr>
          <w:rFonts w:cs="Arial"/>
          <w:szCs w:val="24"/>
          <w:lang w:eastAsia="en-GB"/>
        </w:rPr>
      </w:pPr>
    </w:p>
    <w:p w14:paraId="42D5F188" w14:textId="606779ED" w:rsidR="00F56220" w:rsidRDefault="00F56220" w:rsidP="00F56220">
      <w:pPr>
        <w:jc w:val="both"/>
        <w:rPr>
          <w:rFonts w:cs="Arial"/>
          <w:szCs w:val="24"/>
          <w:lang w:eastAsia="en-GB"/>
        </w:rPr>
      </w:pPr>
    </w:p>
    <w:p w14:paraId="7CBD5F12" w14:textId="07F53DEA" w:rsidR="00BF7865" w:rsidRDefault="00BF7865" w:rsidP="00F56220">
      <w:pPr>
        <w:jc w:val="both"/>
        <w:rPr>
          <w:rFonts w:cs="Arial"/>
          <w:szCs w:val="24"/>
          <w:lang w:eastAsia="en-GB"/>
        </w:rPr>
      </w:pPr>
    </w:p>
    <w:p w14:paraId="6654DD99" w14:textId="60C61B22" w:rsidR="00BF7865" w:rsidRDefault="00BF7865" w:rsidP="00F56220">
      <w:pPr>
        <w:jc w:val="both"/>
        <w:rPr>
          <w:rFonts w:cs="Arial"/>
          <w:szCs w:val="24"/>
          <w:lang w:eastAsia="en-GB"/>
        </w:rPr>
      </w:pPr>
    </w:p>
    <w:p w14:paraId="2B0BDE6A" w14:textId="0160540A" w:rsidR="00BF7865" w:rsidRDefault="00BF7865" w:rsidP="00F56220">
      <w:pPr>
        <w:jc w:val="both"/>
        <w:rPr>
          <w:rFonts w:cs="Arial"/>
          <w:szCs w:val="24"/>
          <w:lang w:eastAsia="en-GB"/>
        </w:rPr>
      </w:pPr>
    </w:p>
    <w:p w14:paraId="6784BAB4" w14:textId="77777777" w:rsidR="00BF7865" w:rsidRDefault="00BF7865" w:rsidP="00F56220">
      <w:pPr>
        <w:jc w:val="both"/>
        <w:rPr>
          <w:rFonts w:cs="Arial"/>
          <w:szCs w:val="24"/>
          <w:lang w:eastAsia="en-GB"/>
        </w:rPr>
      </w:pPr>
    </w:p>
    <w:p w14:paraId="20285231" w14:textId="77777777" w:rsidR="00F56220" w:rsidRPr="00F56220" w:rsidRDefault="00F56220" w:rsidP="00F56220">
      <w:pPr>
        <w:jc w:val="both"/>
        <w:rPr>
          <w:rFonts w:cs="Arial"/>
          <w:szCs w:val="24"/>
          <w:lang w:eastAsia="en-GB"/>
        </w:rPr>
      </w:pPr>
    </w:p>
    <w:p w14:paraId="0918D75A" w14:textId="77777777" w:rsidR="00183378" w:rsidRPr="00183378" w:rsidRDefault="00183378" w:rsidP="00183378">
      <w:pPr>
        <w:pStyle w:val="ListParagraph"/>
        <w:rPr>
          <w:rFonts w:cs="Arial"/>
          <w:szCs w:val="24"/>
          <w:lang w:eastAsia="en-GB"/>
        </w:rPr>
      </w:pPr>
    </w:p>
    <w:p w14:paraId="677C5398" w14:textId="77777777" w:rsidR="00183378" w:rsidRPr="00183378" w:rsidRDefault="00183378" w:rsidP="00183378">
      <w:pPr>
        <w:jc w:val="both"/>
        <w:rPr>
          <w:rFonts w:cs="Arial"/>
          <w:szCs w:val="24"/>
          <w:lang w:eastAsia="en-GB"/>
        </w:rPr>
      </w:pPr>
    </w:p>
    <w:p w14:paraId="028D618E" w14:textId="77777777" w:rsidR="00EE53A1" w:rsidRPr="002739E6" w:rsidRDefault="00EE53A1" w:rsidP="00EE53A1">
      <w:pPr>
        <w:jc w:val="both"/>
        <w:rPr>
          <w:rFonts w:cs="Arial"/>
          <w:bCs/>
          <w:szCs w:val="24"/>
          <w:lang w:eastAsia="en-GB"/>
        </w:rPr>
      </w:pPr>
    </w:p>
    <w:p w14:paraId="36726666" w14:textId="2DF664D4" w:rsidR="00EE53A1" w:rsidRPr="00CD5231" w:rsidRDefault="00EE53A1" w:rsidP="00EE53A1">
      <w:pPr>
        <w:jc w:val="both"/>
        <w:rPr>
          <w:bCs/>
          <w:sz w:val="20"/>
        </w:rPr>
      </w:pPr>
      <w:r w:rsidRPr="00CD5231">
        <w:rPr>
          <w:bCs/>
          <w:sz w:val="20"/>
        </w:rPr>
        <w:t>Table 1: Capital Expenditure 2019/20 to 2023/24</w:t>
      </w:r>
    </w:p>
    <w:p w14:paraId="30B8946B" w14:textId="77777777" w:rsidR="00EE53A1" w:rsidRDefault="00EE53A1" w:rsidP="00EE53A1">
      <w:pPr>
        <w:jc w:val="both"/>
        <w:rPr>
          <w:b/>
          <w:sz w:val="32"/>
          <w:szCs w:val="32"/>
        </w:rPr>
      </w:pPr>
      <w:r w:rsidRPr="00EE53A1">
        <w:rPr>
          <w:noProof/>
        </w:rPr>
        <w:drawing>
          <wp:inline distT="0" distB="0" distL="0" distR="0" wp14:anchorId="3F9A210B" wp14:editId="1F98EAE3">
            <wp:extent cx="5276215" cy="133350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215" cy="1333500"/>
                    </a:xfrm>
                    <a:prstGeom prst="rect">
                      <a:avLst/>
                    </a:prstGeom>
                    <a:noFill/>
                    <a:ln>
                      <a:noFill/>
                    </a:ln>
                  </pic:spPr>
                </pic:pic>
              </a:graphicData>
            </a:graphic>
          </wp:inline>
        </w:drawing>
      </w:r>
    </w:p>
    <w:p w14:paraId="12E602AC" w14:textId="77777777" w:rsidR="00EE53A1" w:rsidRDefault="00EE53A1" w:rsidP="00EE53A1">
      <w:pPr>
        <w:jc w:val="both"/>
        <w:rPr>
          <w:b/>
          <w:sz w:val="32"/>
          <w:szCs w:val="32"/>
        </w:rPr>
      </w:pPr>
    </w:p>
    <w:p w14:paraId="42D88204" w14:textId="36446313" w:rsidR="002739E6" w:rsidRPr="00CD5231" w:rsidRDefault="002739E6" w:rsidP="002739E6">
      <w:pPr>
        <w:jc w:val="both"/>
        <w:rPr>
          <w:bCs/>
          <w:sz w:val="20"/>
        </w:rPr>
      </w:pPr>
      <w:r w:rsidRPr="00CD5231">
        <w:rPr>
          <w:bCs/>
          <w:sz w:val="20"/>
        </w:rPr>
        <w:t>Table 2: Financing of Capital Expenditure 2019/20 to 2023/24</w:t>
      </w:r>
    </w:p>
    <w:p w14:paraId="1366ACDC" w14:textId="77777777" w:rsidR="002739E6" w:rsidRDefault="002739E6" w:rsidP="00EE53A1">
      <w:pPr>
        <w:jc w:val="both"/>
        <w:rPr>
          <w:b/>
          <w:sz w:val="32"/>
          <w:szCs w:val="32"/>
        </w:rPr>
      </w:pPr>
      <w:r w:rsidRPr="002739E6">
        <w:rPr>
          <w:noProof/>
        </w:rPr>
        <w:drawing>
          <wp:inline distT="0" distB="0" distL="0" distR="0" wp14:anchorId="4F5C5BFC" wp14:editId="331C75EA">
            <wp:extent cx="5276215" cy="3381375"/>
            <wp:effectExtent l="0" t="0" r="63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215" cy="3381375"/>
                    </a:xfrm>
                    <a:prstGeom prst="rect">
                      <a:avLst/>
                    </a:prstGeom>
                    <a:noFill/>
                    <a:ln>
                      <a:noFill/>
                    </a:ln>
                  </pic:spPr>
                </pic:pic>
              </a:graphicData>
            </a:graphic>
          </wp:inline>
        </w:drawing>
      </w:r>
    </w:p>
    <w:p w14:paraId="206C3589" w14:textId="39E2A67D" w:rsidR="002739E6" w:rsidRPr="0039072F" w:rsidRDefault="002739E6" w:rsidP="0039072F">
      <w:pPr>
        <w:pStyle w:val="subhead"/>
        <w:numPr>
          <w:ilvl w:val="0"/>
          <w:numId w:val="0"/>
        </w:numPr>
        <w:ind w:left="360" w:hanging="360"/>
        <w:jc w:val="left"/>
        <w:rPr>
          <w:noProof w:val="0"/>
          <w:sz w:val="24"/>
          <w:szCs w:val="24"/>
        </w:rPr>
      </w:pPr>
      <w:bookmarkStart w:id="1" w:name="_Toc60749545"/>
      <w:r w:rsidRPr="0039072F">
        <w:rPr>
          <w:noProof w:val="0"/>
          <w:sz w:val="24"/>
          <w:szCs w:val="24"/>
        </w:rPr>
        <w:t>The Council’s borrowing need (Capital Financing</w:t>
      </w:r>
      <w:r w:rsidR="0039072F" w:rsidRPr="0039072F">
        <w:rPr>
          <w:noProof w:val="0"/>
          <w:sz w:val="24"/>
          <w:szCs w:val="24"/>
        </w:rPr>
        <w:t xml:space="preserve"> </w:t>
      </w:r>
      <w:r w:rsidRPr="0039072F">
        <w:rPr>
          <w:noProof w:val="0"/>
          <w:sz w:val="24"/>
          <w:szCs w:val="24"/>
        </w:rPr>
        <w:t>Requirement)</w:t>
      </w:r>
      <w:bookmarkEnd w:id="1"/>
    </w:p>
    <w:p w14:paraId="1C6EA723" w14:textId="28ECD569" w:rsidR="002739E6" w:rsidRPr="004F56E4" w:rsidRDefault="002739E6" w:rsidP="004E1FB4">
      <w:pPr>
        <w:pStyle w:val="ListParagraph"/>
        <w:numPr>
          <w:ilvl w:val="1"/>
          <w:numId w:val="9"/>
        </w:numPr>
        <w:ind w:left="709" w:hanging="709"/>
        <w:jc w:val="both"/>
        <w:rPr>
          <w:rFonts w:cs="Arial"/>
          <w:szCs w:val="24"/>
          <w:lang w:eastAsia="en-GB"/>
        </w:rPr>
      </w:pPr>
      <w:r w:rsidRPr="002739E6">
        <w:rPr>
          <w:rFonts w:cs="Arial"/>
          <w:szCs w:val="24"/>
          <w:lang w:eastAsia="en-GB"/>
        </w:rPr>
        <w:t xml:space="preserve">The second prudential indicator is the Council’s Capital Financing Requirement (CFR).  The CFR is simply the total historic outstanding capital expenditure which has not yet been paid for from either revenue or capital resources. It is essentially a measure of the Council’s indebtedness and so its underlying borrowing need.  Any capital </w:t>
      </w:r>
      <w:r w:rsidRPr="004F56E4">
        <w:rPr>
          <w:rFonts w:cs="Arial"/>
          <w:szCs w:val="24"/>
          <w:lang w:eastAsia="en-GB"/>
        </w:rPr>
        <w:t xml:space="preserve">expenditure above, which has not immediately been paid for through a revenue or capital resource, will increase the CFR.  </w:t>
      </w:r>
    </w:p>
    <w:p w14:paraId="20C3F6E9" w14:textId="77777777" w:rsidR="002739E6" w:rsidRPr="004F56E4" w:rsidRDefault="002739E6" w:rsidP="0039072F">
      <w:pPr>
        <w:pStyle w:val="ListParagraph"/>
        <w:ind w:left="709" w:hanging="709"/>
        <w:jc w:val="both"/>
        <w:rPr>
          <w:rFonts w:cs="Arial"/>
          <w:szCs w:val="24"/>
          <w:lang w:eastAsia="en-GB"/>
        </w:rPr>
      </w:pPr>
    </w:p>
    <w:p w14:paraId="5C0EB2B2" w14:textId="18E4135A" w:rsidR="002739E6" w:rsidRPr="004F56E4" w:rsidRDefault="002739E6" w:rsidP="004E1FB4">
      <w:pPr>
        <w:pStyle w:val="ListParagraph"/>
        <w:numPr>
          <w:ilvl w:val="1"/>
          <w:numId w:val="9"/>
        </w:numPr>
        <w:ind w:left="709" w:hanging="709"/>
        <w:jc w:val="both"/>
        <w:rPr>
          <w:rFonts w:cs="Arial"/>
          <w:szCs w:val="24"/>
          <w:lang w:eastAsia="en-GB"/>
        </w:rPr>
      </w:pPr>
      <w:r w:rsidRPr="004F56E4">
        <w:rPr>
          <w:rFonts w:cs="Arial"/>
          <w:szCs w:val="24"/>
          <w:lang w:eastAsia="en-GB"/>
        </w:rPr>
        <w:t xml:space="preserve">The CFR includes any other long term liabilities (e.g. PFI or finance leases). Whilst these increase the CFR, and therefore the Council’s borrowing requirement, these types of scheme include a funding facility and so the Council is not required to borrow separately for them. </w:t>
      </w:r>
      <w:r w:rsidRPr="00183378">
        <w:rPr>
          <w:rFonts w:cs="Arial"/>
          <w:szCs w:val="24"/>
          <w:lang w:eastAsia="en-GB"/>
        </w:rPr>
        <w:t>The Council currently has £18.5m of such schemes</w:t>
      </w:r>
      <w:r w:rsidRPr="004F56E4">
        <w:rPr>
          <w:rFonts w:cs="Arial"/>
          <w:szCs w:val="24"/>
          <w:lang w:eastAsia="en-GB"/>
        </w:rPr>
        <w:t xml:space="preserve"> within the CFR.</w:t>
      </w:r>
    </w:p>
    <w:p w14:paraId="00C71AD9" w14:textId="77777777" w:rsidR="002739E6" w:rsidRPr="002739E6" w:rsidRDefault="002739E6" w:rsidP="0039072F">
      <w:pPr>
        <w:ind w:hanging="709"/>
        <w:jc w:val="both"/>
        <w:rPr>
          <w:rFonts w:cs="Arial"/>
          <w:szCs w:val="24"/>
          <w:lang w:eastAsia="en-GB"/>
        </w:rPr>
      </w:pPr>
    </w:p>
    <w:p w14:paraId="3AEA2D5B" w14:textId="69D77363" w:rsidR="002739E6" w:rsidRPr="002739E6" w:rsidRDefault="002739E6" w:rsidP="004E1FB4">
      <w:pPr>
        <w:pStyle w:val="ListParagraph"/>
        <w:numPr>
          <w:ilvl w:val="1"/>
          <w:numId w:val="9"/>
        </w:numPr>
        <w:ind w:left="709" w:hanging="709"/>
        <w:jc w:val="both"/>
        <w:rPr>
          <w:rFonts w:cs="Arial"/>
          <w:szCs w:val="24"/>
          <w:lang w:eastAsia="en-GB"/>
        </w:rPr>
      </w:pPr>
      <w:r w:rsidRPr="002739E6">
        <w:rPr>
          <w:rFonts w:cs="Arial"/>
          <w:szCs w:val="24"/>
          <w:lang w:eastAsia="en-GB"/>
        </w:rPr>
        <w:t>The CFR does not increase indefinitely, as the minimum revenue provision (MRP) is a statutory annual revenue charge which broadly reduces the indebtedness in line with each asset’s life, and so charges the economic consumption of capital assets as they are used.</w:t>
      </w:r>
    </w:p>
    <w:p w14:paraId="097286D8" w14:textId="77777777" w:rsidR="002739E6" w:rsidRPr="002739E6" w:rsidRDefault="002739E6" w:rsidP="0039072F">
      <w:pPr>
        <w:ind w:hanging="709"/>
        <w:jc w:val="both"/>
        <w:rPr>
          <w:rFonts w:cs="Arial"/>
          <w:szCs w:val="24"/>
          <w:lang w:eastAsia="en-GB"/>
        </w:rPr>
      </w:pPr>
    </w:p>
    <w:p w14:paraId="44DADBF8" w14:textId="187F635B" w:rsidR="002739E6" w:rsidRDefault="002739E6" w:rsidP="004E1FB4">
      <w:pPr>
        <w:pStyle w:val="ListParagraph"/>
        <w:numPr>
          <w:ilvl w:val="1"/>
          <w:numId w:val="9"/>
        </w:numPr>
        <w:ind w:left="709" w:hanging="709"/>
        <w:jc w:val="both"/>
        <w:rPr>
          <w:rFonts w:cs="Arial"/>
          <w:szCs w:val="24"/>
        </w:rPr>
      </w:pPr>
      <w:r w:rsidRPr="002739E6">
        <w:rPr>
          <w:rFonts w:cs="Arial"/>
          <w:szCs w:val="24"/>
          <w:lang w:eastAsia="en-GB"/>
        </w:rPr>
        <w:t>The Council is asked to approve the CFR projections below</w:t>
      </w:r>
      <w:r w:rsidRPr="002739E6">
        <w:rPr>
          <w:rFonts w:cs="Arial"/>
          <w:szCs w:val="24"/>
        </w:rPr>
        <w:t>:</w:t>
      </w:r>
    </w:p>
    <w:p w14:paraId="015E94C6" w14:textId="77777777" w:rsidR="002739E6" w:rsidRPr="002739E6" w:rsidRDefault="002739E6" w:rsidP="002739E6">
      <w:pPr>
        <w:pStyle w:val="ListParagraph"/>
        <w:rPr>
          <w:rFonts w:cs="Arial"/>
          <w:szCs w:val="24"/>
        </w:rPr>
      </w:pPr>
    </w:p>
    <w:p w14:paraId="00BF9AE2" w14:textId="21D6EE9B" w:rsidR="002739E6" w:rsidRPr="00CD5231" w:rsidRDefault="002739E6" w:rsidP="002739E6">
      <w:pPr>
        <w:jc w:val="both"/>
        <w:rPr>
          <w:rFonts w:cs="Arial"/>
          <w:sz w:val="20"/>
        </w:rPr>
      </w:pPr>
      <w:r w:rsidRPr="00CD5231">
        <w:rPr>
          <w:rFonts w:cs="Arial"/>
          <w:sz w:val="20"/>
        </w:rPr>
        <w:t>Table 3: Capital Financing Requirement</w:t>
      </w:r>
    </w:p>
    <w:p w14:paraId="24028EF4" w14:textId="77777777" w:rsidR="002739E6" w:rsidRDefault="002739E6" w:rsidP="00EE53A1">
      <w:pPr>
        <w:jc w:val="both"/>
        <w:rPr>
          <w:b/>
          <w:sz w:val="32"/>
          <w:szCs w:val="32"/>
        </w:rPr>
      </w:pPr>
      <w:r w:rsidRPr="002739E6">
        <w:rPr>
          <w:noProof/>
        </w:rPr>
        <w:drawing>
          <wp:inline distT="0" distB="0" distL="0" distR="0" wp14:anchorId="3D69A8C4" wp14:editId="19EA5504">
            <wp:extent cx="5276215" cy="1895475"/>
            <wp:effectExtent l="0" t="0" r="63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6215" cy="1895475"/>
                    </a:xfrm>
                    <a:prstGeom prst="rect">
                      <a:avLst/>
                    </a:prstGeom>
                    <a:noFill/>
                    <a:ln>
                      <a:noFill/>
                    </a:ln>
                  </pic:spPr>
                </pic:pic>
              </a:graphicData>
            </a:graphic>
          </wp:inline>
        </w:drawing>
      </w:r>
    </w:p>
    <w:p w14:paraId="5D1592A0" w14:textId="77777777" w:rsidR="002739E6" w:rsidRPr="0039072F" w:rsidRDefault="002739E6" w:rsidP="002739E6">
      <w:pPr>
        <w:pStyle w:val="subhead"/>
        <w:numPr>
          <w:ilvl w:val="0"/>
          <w:numId w:val="0"/>
        </w:numPr>
        <w:ind w:left="360" w:hanging="360"/>
        <w:rPr>
          <w:sz w:val="24"/>
          <w:szCs w:val="24"/>
        </w:rPr>
      </w:pPr>
      <w:bookmarkStart w:id="2" w:name="_Toc60749546"/>
      <w:r w:rsidRPr="0039072F">
        <w:rPr>
          <w:sz w:val="24"/>
          <w:szCs w:val="24"/>
        </w:rPr>
        <w:t>Minimum revenue provision (MRP) policy statement</w:t>
      </w:r>
      <w:bookmarkEnd w:id="2"/>
    </w:p>
    <w:p w14:paraId="0CBB47D1" w14:textId="5367E9AE" w:rsidR="002739E6" w:rsidRDefault="002739E6" w:rsidP="004E1FB4">
      <w:pPr>
        <w:pStyle w:val="ListParagraph"/>
        <w:numPr>
          <w:ilvl w:val="1"/>
          <w:numId w:val="9"/>
        </w:numPr>
        <w:ind w:left="709" w:hanging="709"/>
        <w:jc w:val="both"/>
        <w:rPr>
          <w:rFonts w:cs="Arial"/>
          <w:szCs w:val="24"/>
          <w:lang w:eastAsia="en-GB"/>
        </w:rPr>
      </w:pPr>
      <w:r w:rsidRPr="002739E6">
        <w:rPr>
          <w:rFonts w:cs="Arial"/>
          <w:szCs w:val="24"/>
          <w:lang w:eastAsia="en-GB"/>
        </w:rPr>
        <w:t xml:space="preserve">Capital expenditure is generally defined as expenditure on assets that have a life expectancy of more than one year e.g. buildings, vehicles, machinery etc. The accounting approach is to spread the cost over the estimated useful life of the asset. The mechanism for spreading these costs is through an annual MRP. The MRP is the means by which capital expenditure, which is financed by borrowing or credit arrangements, is funded by Council Tax.  </w:t>
      </w:r>
    </w:p>
    <w:p w14:paraId="547CA05C" w14:textId="77777777" w:rsidR="002739E6" w:rsidRPr="002739E6" w:rsidRDefault="002739E6" w:rsidP="0039072F">
      <w:pPr>
        <w:pStyle w:val="ListParagraph"/>
        <w:ind w:left="709" w:hanging="709"/>
        <w:jc w:val="both"/>
        <w:rPr>
          <w:rFonts w:cs="Arial"/>
          <w:szCs w:val="24"/>
          <w:lang w:eastAsia="en-GB"/>
        </w:rPr>
      </w:pPr>
    </w:p>
    <w:p w14:paraId="07BEE503" w14:textId="4C20D5B1" w:rsidR="002739E6" w:rsidRDefault="002739E6" w:rsidP="004E1FB4">
      <w:pPr>
        <w:pStyle w:val="ListParagraph"/>
        <w:numPr>
          <w:ilvl w:val="1"/>
          <w:numId w:val="9"/>
        </w:numPr>
        <w:ind w:left="709" w:hanging="709"/>
        <w:jc w:val="both"/>
        <w:rPr>
          <w:rFonts w:cs="Arial"/>
          <w:szCs w:val="24"/>
          <w:lang w:eastAsia="en-GB"/>
        </w:rPr>
      </w:pPr>
      <w:r w:rsidRPr="002739E6">
        <w:rPr>
          <w:rFonts w:cs="Arial"/>
          <w:szCs w:val="24"/>
          <w:lang w:eastAsia="en-GB"/>
        </w:rPr>
        <w:t xml:space="preserve">Regulation 28 of the Local Authorities (Capital Finance and Accounting) (England) Regulations 2003 (as amended)  require the Council to approve an MRP Statement setting out what provision is to be made in the General Fund for the repayment of debt, and how the provision is to be calculated. The purpose of the Statement is to ensure the provision is prudent, allowing the debt to be repaid over a period reasonably commensurate with that over which the capital expenditure benefits. The Council is recommended to approve the statement as detailed in Appendix C. </w:t>
      </w:r>
    </w:p>
    <w:p w14:paraId="22B2D333" w14:textId="77777777" w:rsidR="002739E6" w:rsidRPr="002739E6" w:rsidRDefault="002739E6" w:rsidP="0039072F">
      <w:pPr>
        <w:ind w:hanging="709"/>
        <w:jc w:val="both"/>
        <w:rPr>
          <w:rFonts w:cs="Arial"/>
          <w:szCs w:val="24"/>
          <w:lang w:eastAsia="en-GB"/>
        </w:rPr>
      </w:pPr>
    </w:p>
    <w:p w14:paraId="41646485" w14:textId="36DE2CDF" w:rsidR="002739E6" w:rsidRPr="0039072F" w:rsidRDefault="002739E6" w:rsidP="004E1FB4">
      <w:pPr>
        <w:pStyle w:val="ListParagraph"/>
        <w:numPr>
          <w:ilvl w:val="1"/>
          <w:numId w:val="9"/>
        </w:numPr>
        <w:ind w:left="709" w:hanging="709"/>
        <w:jc w:val="both"/>
        <w:rPr>
          <w:rFonts w:cs="Arial"/>
          <w:szCs w:val="24"/>
          <w:lang w:eastAsia="en-GB"/>
        </w:rPr>
      </w:pPr>
      <w:r w:rsidRPr="002739E6">
        <w:rPr>
          <w:rFonts w:cs="Arial"/>
          <w:szCs w:val="24"/>
          <w:lang w:eastAsia="en-GB"/>
        </w:rPr>
        <w:t xml:space="preserve">There is no requirement on the HRA to make a minimum revenue provision but there is a requirement for a charge for depreciation to be </w:t>
      </w:r>
      <w:r w:rsidRPr="0039072F">
        <w:rPr>
          <w:rFonts w:cs="Arial"/>
          <w:szCs w:val="24"/>
          <w:lang w:eastAsia="en-GB"/>
        </w:rPr>
        <w:t xml:space="preserve">made. </w:t>
      </w:r>
    </w:p>
    <w:p w14:paraId="046C2761" w14:textId="77777777" w:rsidR="002739E6" w:rsidRPr="0039072F" w:rsidRDefault="002739E6" w:rsidP="0039072F">
      <w:pPr>
        <w:ind w:hanging="709"/>
        <w:jc w:val="both"/>
        <w:rPr>
          <w:rFonts w:cs="Arial"/>
          <w:szCs w:val="24"/>
          <w:lang w:eastAsia="en-GB"/>
        </w:rPr>
      </w:pPr>
    </w:p>
    <w:p w14:paraId="07C384DA" w14:textId="4DA8BDD8" w:rsidR="00F2433C" w:rsidRPr="0081234A" w:rsidRDefault="002739E6" w:rsidP="0081234A">
      <w:pPr>
        <w:pStyle w:val="ListParagraph"/>
        <w:numPr>
          <w:ilvl w:val="1"/>
          <w:numId w:val="9"/>
        </w:numPr>
        <w:ind w:left="709" w:hanging="709"/>
        <w:jc w:val="both"/>
        <w:rPr>
          <w:rFonts w:cs="Arial"/>
          <w:szCs w:val="24"/>
          <w:lang w:eastAsia="en-GB"/>
        </w:rPr>
      </w:pPr>
      <w:r w:rsidRPr="0081234A">
        <w:rPr>
          <w:rFonts w:cs="Arial"/>
          <w:szCs w:val="24"/>
          <w:lang w:eastAsia="en-GB"/>
        </w:rPr>
        <w:t>MRP Overpayments - A change introduced by the revised MHCLG MRP Guidance was the allowance that any charges made over the statutory MRP, voluntary revenue provision (VRP) or overpayments, can, if needed, be reclaimed in later years if deemed necessary or prudent.  In order for these sums to be reclaimed for use in the budget, it is recommended to disclose the cumulative overpayment made each year in a disclosure statement to full Council.  As at 31st March 2020 the balance of VRP was £</w:t>
      </w:r>
      <w:r w:rsidR="00F56220" w:rsidRPr="0081234A">
        <w:rPr>
          <w:rFonts w:cs="Arial"/>
          <w:szCs w:val="24"/>
          <w:lang w:eastAsia="en-GB"/>
        </w:rPr>
        <w:t xml:space="preserve">7.8m. </w:t>
      </w:r>
      <w:r w:rsidRPr="0081234A">
        <w:rPr>
          <w:rFonts w:cs="Arial"/>
          <w:szCs w:val="24"/>
          <w:lang w:eastAsia="en-GB"/>
        </w:rPr>
        <w:t xml:space="preserve"> </w:t>
      </w:r>
    </w:p>
    <w:p w14:paraId="2963E1FF" w14:textId="7437832A" w:rsidR="002739E6" w:rsidRPr="0039072F" w:rsidRDefault="002739E6" w:rsidP="002739E6">
      <w:pPr>
        <w:pStyle w:val="subhead"/>
        <w:numPr>
          <w:ilvl w:val="0"/>
          <w:numId w:val="0"/>
        </w:numPr>
        <w:rPr>
          <w:sz w:val="24"/>
          <w:szCs w:val="24"/>
        </w:rPr>
      </w:pPr>
      <w:bookmarkStart w:id="3" w:name="_Toc60749547"/>
      <w:r w:rsidRPr="0039072F">
        <w:rPr>
          <w:sz w:val="24"/>
          <w:szCs w:val="24"/>
        </w:rPr>
        <w:t>Core funds and expected investment balances</w:t>
      </w:r>
      <w:bookmarkEnd w:id="3"/>
    </w:p>
    <w:p w14:paraId="2B4B55CA" w14:textId="77777777" w:rsidR="002739E6" w:rsidRPr="0039072F" w:rsidRDefault="002739E6" w:rsidP="004E1FB4">
      <w:pPr>
        <w:pStyle w:val="ListParagraph"/>
        <w:numPr>
          <w:ilvl w:val="1"/>
          <w:numId w:val="9"/>
        </w:numPr>
        <w:ind w:left="709" w:hanging="709"/>
        <w:jc w:val="both"/>
        <w:rPr>
          <w:rFonts w:cs="Arial"/>
          <w:szCs w:val="24"/>
          <w:lang w:eastAsia="en-GB"/>
        </w:rPr>
      </w:pPr>
      <w:r w:rsidRPr="0039072F">
        <w:rPr>
          <w:rFonts w:cs="Arial"/>
          <w:szCs w:val="24"/>
          <w:lang w:eastAsia="en-GB"/>
        </w:rPr>
        <w:t xml:space="preserve">The application of resources (grants, capital receipts etc.) to finance capital expenditure or budget decisions to support the revenue budget </w:t>
      </w:r>
      <w:r w:rsidRPr="0039072F">
        <w:rPr>
          <w:rFonts w:cs="Arial"/>
          <w:szCs w:val="24"/>
          <w:lang w:eastAsia="en-GB"/>
        </w:rPr>
        <w:lastRenderedPageBreak/>
        <w:t xml:space="preserve">will have an ongoing impact on investments unless resources are supplemented each year from new sources (asset sales etc.).  </w:t>
      </w:r>
    </w:p>
    <w:p w14:paraId="0426FECD" w14:textId="077A12EB" w:rsidR="002739E6" w:rsidRDefault="002739E6" w:rsidP="004E1FB4">
      <w:pPr>
        <w:pStyle w:val="ListParagraph"/>
        <w:numPr>
          <w:ilvl w:val="1"/>
          <w:numId w:val="9"/>
        </w:numPr>
        <w:ind w:left="709" w:hanging="709"/>
        <w:jc w:val="both"/>
        <w:rPr>
          <w:rFonts w:cs="Arial"/>
          <w:szCs w:val="24"/>
          <w:lang w:eastAsia="en-GB"/>
        </w:rPr>
      </w:pPr>
      <w:r w:rsidRPr="00644A6C">
        <w:rPr>
          <w:rFonts w:cs="Arial"/>
          <w:szCs w:val="24"/>
          <w:lang w:eastAsia="en-GB"/>
        </w:rPr>
        <w:t xml:space="preserve">The cash investment balance will be kept </w:t>
      </w:r>
      <w:r w:rsidR="00F56220" w:rsidRPr="00644A6C">
        <w:rPr>
          <w:rFonts w:cs="Arial"/>
          <w:szCs w:val="24"/>
          <w:lang w:eastAsia="en-GB"/>
        </w:rPr>
        <w:t xml:space="preserve">initially at </w:t>
      </w:r>
      <w:r w:rsidRPr="00644A6C">
        <w:rPr>
          <w:rFonts w:cs="Arial"/>
          <w:szCs w:val="24"/>
          <w:lang w:eastAsia="en-GB"/>
        </w:rPr>
        <w:t>approximately £</w:t>
      </w:r>
      <w:r w:rsidR="00F56220" w:rsidRPr="00644A6C">
        <w:rPr>
          <w:rFonts w:cs="Arial"/>
          <w:szCs w:val="24"/>
          <w:lang w:eastAsia="en-GB"/>
        </w:rPr>
        <w:t>3</w:t>
      </w:r>
      <w:r w:rsidR="005F1E3E" w:rsidRPr="00644A6C">
        <w:rPr>
          <w:rFonts w:cs="Arial"/>
          <w:szCs w:val="24"/>
          <w:lang w:eastAsia="en-GB"/>
        </w:rPr>
        <w:t>0</w:t>
      </w:r>
      <w:r w:rsidRPr="00644A6C">
        <w:rPr>
          <w:rFonts w:cs="Arial"/>
          <w:szCs w:val="24"/>
          <w:lang w:eastAsia="en-GB"/>
        </w:rPr>
        <w:t>m</w:t>
      </w:r>
      <w:r w:rsidR="00644A6C">
        <w:rPr>
          <w:rFonts w:cs="Arial"/>
          <w:szCs w:val="24"/>
          <w:lang w:eastAsia="en-GB"/>
        </w:rPr>
        <w:t xml:space="preserve">. </w:t>
      </w:r>
      <w:r w:rsidRPr="00F2433C">
        <w:rPr>
          <w:rFonts w:cs="Arial"/>
          <w:color w:val="FF0000"/>
          <w:szCs w:val="24"/>
          <w:lang w:eastAsia="en-GB"/>
        </w:rPr>
        <w:t xml:space="preserve"> </w:t>
      </w:r>
      <w:r w:rsidRPr="0039072F">
        <w:rPr>
          <w:rFonts w:cs="Arial"/>
          <w:szCs w:val="24"/>
          <w:lang w:eastAsia="en-GB"/>
        </w:rPr>
        <w:t>The working capital and borrowing position will be managed to maintain this level of cash balances.</w:t>
      </w:r>
    </w:p>
    <w:p w14:paraId="0D2ED736" w14:textId="3C8C347A" w:rsidR="0039072F" w:rsidRDefault="0039072F" w:rsidP="0039072F">
      <w:pPr>
        <w:jc w:val="both"/>
        <w:rPr>
          <w:rFonts w:cs="Arial"/>
          <w:szCs w:val="24"/>
          <w:lang w:eastAsia="en-GB"/>
        </w:rPr>
      </w:pPr>
    </w:p>
    <w:p w14:paraId="69C5FA2B" w14:textId="6BD3810F" w:rsidR="0039072F" w:rsidRPr="0039072F" w:rsidRDefault="0039072F" w:rsidP="0039072F">
      <w:pPr>
        <w:jc w:val="both"/>
        <w:rPr>
          <w:rFonts w:cs="Arial"/>
          <w:szCs w:val="24"/>
          <w:lang w:eastAsia="en-GB"/>
        </w:rPr>
      </w:pPr>
      <w:r>
        <w:rPr>
          <w:rFonts w:cs="Arial"/>
          <w:b/>
          <w:sz w:val="28"/>
          <w:szCs w:val="28"/>
        </w:rPr>
        <w:t xml:space="preserve">3. </w:t>
      </w:r>
      <w:r>
        <w:rPr>
          <w:rFonts w:cs="Arial"/>
          <w:b/>
          <w:sz w:val="28"/>
          <w:szCs w:val="28"/>
        </w:rPr>
        <w:tab/>
      </w:r>
      <w:r w:rsidRPr="00887A59">
        <w:rPr>
          <w:rFonts w:cs="Arial"/>
          <w:b/>
          <w:sz w:val="28"/>
          <w:szCs w:val="28"/>
        </w:rPr>
        <w:t>Borrowing</w:t>
      </w:r>
    </w:p>
    <w:p w14:paraId="73C60850" w14:textId="77777777" w:rsidR="002739E6" w:rsidRPr="002739E6" w:rsidRDefault="002739E6" w:rsidP="002739E6">
      <w:pPr>
        <w:jc w:val="both"/>
        <w:rPr>
          <w:rFonts w:cs="Arial"/>
          <w:szCs w:val="24"/>
          <w:lang w:eastAsia="en-GB"/>
        </w:rPr>
      </w:pPr>
    </w:p>
    <w:p w14:paraId="3BF411D4" w14:textId="089A5DFC" w:rsidR="004F56E4" w:rsidRPr="0081234A" w:rsidRDefault="0039072F" w:rsidP="0081234A">
      <w:pPr>
        <w:pStyle w:val="ListParagraph"/>
        <w:numPr>
          <w:ilvl w:val="1"/>
          <w:numId w:val="10"/>
        </w:numPr>
        <w:ind w:left="709" w:hanging="709"/>
        <w:jc w:val="both"/>
        <w:rPr>
          <w:rFonts w:cs="Arial"/>
          <w:szCs w:val="24"/>
          <w:lang w:eastAsia="en-GB"/>
        </w:rPr>
      </w:pPr>
      <w:r w:rsidRPr="0081234A">
        <w:rPr>
          <w:rFonts w:cs="Arial"/>
          <w:szCs w:val="24"/>
          <w:lang w:eastAsia="en-GB"/>
        </w:rPr>
        <w:t>The capital expenditure plans set out in Table 1 provide details of the service activity of the Council. The treasury management function ensures that the Council’s cash is organised in accordance with the relevant professional codes, so that sufficient cash is available to meet this service activity and the Council’s capital strategy. This will involve both the organisation of the cash flow and, where capital plans require, the organisation of appropriate borrowing facilities. The strategy covers the relevant treasury / prudential indicators, the current and projected debt positions and the annual investment strategy</w:t>
      </w:r>
      <w:r w:rsidR="0081234A" w:rsidRPr="0081234A">
        <w:rPr>
          <w:rFonts w:cs="Arial"/>
          <w:szCs w:val="24"/>
          <w:lang w:eastAsia="en-GB"/>
        </w:rPr>
        <w:t>.</w:t>
      </w:r>
    </w:p>
    <w:p w14:paraId="1D5CD8AB" w14:textId="77777777" w:rsidR="004F56E4" w:rsidRPr="004F56E4" w:rsidRDefault="004F56E4" w:rsidP="004F56E4">
      <w:pPr>
        <w:pStyle w:val="subhead"/>
        <w:numPr>
          <w:ilvl w:val="0"/>
          <w:numId w:val="0"/>
        </w:numPr>
        <w:ind w:left="360" w:hanging="360"/>
        <w:rPr>
          <w:noProof w:val="0"/>
          <w:sz w:val="24"/>
          <w:szCs w:val="24"/>
        </w:rPr>
      </w:pPr>
      <w:bookmarkStart w:id="4" w:name="_Toc60749549"/>
      <w:r w:rsidRPr="004F56E4">
        <w:rPr>
          <w:noProof w:val="0"/>
          <w:sz w:val="24"/>
          <w:szCs w:val="24"/>
        </w:rPr>
        <w:t>Current portfolio position</w:t>
      </w:r>
      <w:bookmarkEnd w:id="4"/>
    </w:p>
    <w:p w14:paraId="3D23CAEE" w14:textId="5828B365" w:rsidR="004F56E4" w:rsidRDefault="004F56E4" w:rsidP="004E1FB4">
      <w:pPr>
        <w:pStyle w:val="ListParagraph"/>
        <w:numPr>
          <w:ilvl w:val="1"/>
          <w:numId w:val="10"/>
        </w:numPr>
        <w:ind w:left="709" w:hanging="709"/>
        <w:jc w:val="both"/>
        <w:rPr>
          <w:rFonts w:cs="Arial"/>
          <w:szCs w:val="24"/>
          <w:lang w:eastAsia="en-GB"/>
        </w:rPr>
      </w:pPr>
      <w:r w:rsidRPr="004F56E4">
        <w:rPr>
          <w:rFonts w:cs="Arial"/>
          <w:szCs w:val="24"/>
          <w:lang w:eastAsia="en-GB"/>
        </w:rPr>
        <w:t>The overall treasury management portfolio as at 31 March 2020 and for the position as at 31 December 2020 are shown below for both borrowing and investments.</w:t>
      </w:r>
    </w:p>
    <w:p w14:paraId="122A3CEB" w14:textId="6866D24A" w:rsidR="004F56E4" w:rsidRDefault="004F56E4" w:rsidP="004F56E4">
      <w:pPr>
        <w:jc w:val="both"/>
        <w:rPr>
          <w:rFonts w:cs="Arial"/>
          <w:szCs w:val="24"/>
          <w:lang w:eastAsia="en-GB"/>
        </w:rPr>
      </w:pPr>
    </w:p>
    <w:p w14:paraId="4B9E3FE4" w14:textId="07FA5B96" w:rsidR="004F56E4" w:rsidRPr="00CD5231" w:rsidRDefault="004F56E4" w:rsidP="004F56E4">
      <w:pPr>
        <w:jc w:val="both"/>
        <w:rPr>
          <w:rFonts w:cs="Arial"/>
          <w:sz w:val="20"/>
          <w:lang w:eastAsia="en-GB"/>
        </w:rPr>
      </w:pPr>
      <w:r w:rsidRPr="00CD5231">
        <w:rPr>
          <w:rFonts w:cs="Arial"/>
          <w:sz w:val="20"/>
          <w:lang w:eastAsia="en-GB"/>
        </w:rPr>
        <w:t>Table 4: Borrowing Portfolio</w:t>
      </w:r>
    </w:p>
    <w:p w14:paraId="0E0FA4B7" w14:textId="4637E0F3" w:rsidR="006A7ED0" w:rsidRDefault="004F56E4" w:rsidP="004F56E4">
      <w:pPr>
        <w:jc w:val="both"/>
        <w:rPr>
          <w:rFonts w:cs="Arial"/>
          <w:szCs w:val="24"/>
          <w:lang w:eastAsia="en-GB"/>
        </w:rPr>
      </w:pPr>
      <w:r w:rsidRPr="004F56E4">
        <w:rPr>
          <w:noProof/>
        </w:rPr>
        <w:drawing>
          <wp:inline distT="0" distB="0" distL="0" distR="0" wp14:anchorId="3155F621" wp14:editId="4BD29339">
            <wp:extent cx="5276215" cy="947420"/>
            <wp:effectExtent l="0" t="0" r="635"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215" cy="947420"/>
                    </a:xfrm>
                    <a:prstGeom prst="rect">
                      <a:avLst/>
                    </a:prstGeom>
                    <a:noFill/>
                    <a:ln>
                      <a:noFill/>
                    </a:ln>
                  </pic:spPr>
                </pic:pic>
              </a:graphicData>
            </a:graphic>
          </wp:inline>
        </w:drawing>
      </w:r>
    </w:p>
    <w:p w14:paraId="13DB3670" w14:textId="77777777" w:rsidR="006A7ED0" w:rsidRDefault="006A7ED0" w:rsidP="004F56E4">
      <w:pPr>
        <w:jc w:val="both"/>
        <w:rPr>
          <w:rFonts w:cs="Arial"/>
          <w:szCs w:val="24"/>
          <w:lang w:eastAsia="en-GB"/>
        </w:rPr>
      </w:pPr>
    </w:p>
    <w:p w14:paraId="64D7BC2D" w14:textId="77777777" w:rsidR="004F56E4" w:rsidRPr="00CD5231" w:rsidRDefault="004F56E4" w:rsidP="004F56E4">
      <w:pPr>
        <w:jc w:val="both"/>
        <w:rPr>
          <w:rFonts w:cs="Arial"/>
          <w:sz w:val="20"/>
          <w:lang w:eastAsia="en-GB"/>
        </w:rPr>
      </w:pPr>
      <w:r w:rsidRPr="00CD5231">
        <w:rPr>
          <w:rFonts w:cs="Arial"/>
          <w:sz w:val="20"/>
          <w:lang w:eastAsia="en-GB"/>
        </w:rPr>
        <w:t>Table 5: Investment Portfolio</w:t>
      </w:r>
    </w:p>
    <w:p w14:paraId="01652AD4" w14:textId="7F5A9319" w:rsidR="004F56E4" w:rsidRDefault="004F56E4" w:rsidP="004F56E4">
      <w:pPr>
        <w:jc w:val="both"/>
        <w:rPr>
          <w:rFonts w:cs="Arial"/>
          <w:szCs w:val="24"/>
          <w:lang w:eastAsia="en-GB"/>
        </w:rPr>
      </w:pPr>
      <w:r w:rsidRPr="004F56E4">
        <w:rPr>
          <w:noProof/>
        </w:rPr>
        <w:drawing>
          <wp:inline distT="0" distB="0" distL="0" distR="0" wp14:anchorId="10C6DB1F" wp14:editId="6C8A5675">
            <wp:extent cx="5276215" cy="947420"/>
            <wp:effectExtent l="0" t="0" r="635"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6215" cy="947420"/>
                    </a:xfrm>
                    <a:prstGeom prst="rect">
                      <a:avLst/>
                    </a:prstGeom>
                    <a:noFill/>
                    <a:ln>
                      <a:noFill/>
                    </a:ln>
                  </pic:spPr>
                </pic:pic>
              </a:graphicData>
            </a:graphic>
          </wp:inline>
        </w:drawing>
      </w:r>
    </w:p>
    <w:p w14:paraId="50CA272F" w14:textId="77777777" w:rsidR="004F56E4" w:rsidRDefault="004F56E4" w:rsidP="004F56E4">
      <w:pPr>
        <w:jc w:val="both"/>
        <w:rPr>
          <w:rFonts w:cs="Arial"/>
          <w:szCs w:val="24"/>
          <w:lang w:eastAsia="en-GB"/>
        </w:rPr>
      </w:pPr>
    </w:p>
    <w:p w14:paraId="7F0C6852" w14:textId="7F69CA37" w:rsidR="00F2433C" w:rsidRDefault="00F2433C" w:rsidP="004E1FB4">
      <w:pPr>
        <w:pStyle w:val="ListParagraph"/>
        <w:numPr>
          <w:ilvl w:val="1"/>
          <w:numId w:val="10"/>
        </w:numPr>
        <w:ind w:left="709" w:hanging="709"/>
        <w:jc w:val="both"/>
        <w:rPr>
          <w:rFonts w:cs="Arial"/>
          <w:szCs w:val="24"/>
          <w:lang w:eastAsia="en-GB"/>
        </w:rPr>
      </w:pPr>
      <w:r>
        <w:rPr>
          <w:rFonts w:cs="Arial"/>
          <w:szCs w:val="24"/>
          <w:lang w:eastAsia="en-GB"/>
        </w:rPr>
        <w:t>The Council maintains upper and lower limits with respect to the maturity structure of its borrowing.  This Prudential Indicator, reflecting the earliest date at which a lender can require payment is set to ensure refinancing risk is managed regarding the concentration of loan maturities in any one period.  Table 6 below illustrates the actual position as at 31</w:t>
      </w:r>
      <w:r w:rsidRPr="00F2433C">
        <w:rPr>
          <w:rFonts w:cs="Arial"/>
          <w:szCs w:val="24"/>
          <w:vertAlign w:val="superscript"/>
          <w:lang w:eastAsia="en-GB"/>
        </w:rPr>
        <w:t>st</w:t>
      </w:r>
      <w:r>
        <w:rPr>
          <w:rFonts w:cs="Arial"/>
          <w:szCs w:val="24"/>
          <w:lang w:eastAsia="en-GB"/>
        </w:rPr>
        <w:t xml:space="preserve"> March 2020 and 31</w:t>
      </w:r>
      <w:r w:rsidRPr="00F2433C">
        <w:rPr>
          <w:rFonts w:cs="Arial"/>
          <w:szCs w:val="24"/>
          <w:vertAlign w:val="superscript"/>
          <w:lang w:eastAsia="en-GB"/>
        </w:rPr>
        <w:t>st</w:t>
      </w:r>
      <w:r>
        <w:rPr>
          <w:rFonts w:cs="Arial"/>
          <w:szCs w:val="24"/>
          <w:lang w:eastAsia="en-GB"/>
        </w:rPr>
        <w:t xml:space="preserve"> December 2020, compared to the upper and lower limits in place.</w:t>
      </w:r>
    </w:p>
    <w:p w14:paraId="0FFEC589" w14:textId="77777777" w:rsidR="00F2433C" w:rsidRDefault="00F2433C" w:rsidP="00F2433C">
      <w:pPr>
        <w:jc w:val="both"/>
        <w:rPr>
          <w:rFonts w:cs="Arial"/>
          <w:sz w:val="20"/>
          <w:lang w:eastAsia="en-GB"/>
        </w:rPr>
      </w:pPr>
    </w:p>
    <w:p w14:paraId="3E75A14D" w14:textId="77777777" w:rsidR="00F2433C" w:rsidRDefault="00F2433C" w:rsidP="00F2433C">
      <w:pPr>
        <w:jc w:val="both"/>
        <w:rPr>
          <w:rFonts w:cs="Arial"/>
          <w:sz w:val="20"/>
          <w:lang w:eastAsia="en-GB"/>
        </w:rPr>
      </w:pPr>
    </w:p>
    <w:p w14:paraId="14458DFA" w14:textId="77777777" w:rsidR="00F2433C" w:rsidRDefault="00F2433C" w:rsidP="00F2433C">
      <w:pPr>
        <w:jc w:val="both"/>
        <w:rPr>
          <w:rFonts w:cs="Arial"/>
          <w:sz w:val="20"/>
          <w:lang w:eastAsia="en-GB"/>
        </w:rPr>
      </w:pPr>
    </w:p>
    <w:p w14:paraId="670E1796" w14:textId="77777777" w:rsidR="00F2433C" w:rsidRDefault="00F2433C" w:rsidP="00F2433C">
      <w:pPr>
        <w:jc w:val="both"/>
        <w:rPr>
          <w:rFonts w:cs="Arial"/>
          <w:sz w:val="20"/>
          <w:lang w:eastAsia="en-GB"/>
        </w:rPr>
      </w:pPr>
    </w:p>
    <w:p w14:paraId="340CAC87" w14:textId="6F14CC9F" w:rsidR="00F2433C" w:rsidRDefault="00F2433C" w:rsidP="00F2433C">
      <w:pPr>
        <w:jc w:val="both"/>
        <w:rPr>
          <w:rFonts w:cs="Arial"/>
          <w:sz w:val="20"/>
          <w:lang w:eastAsia="en-GB"/>
        </w:rPr>
      </w:pPr>
    </w:p>
    <w:p w14:paraId="0BFAD358" w14:textId="25144711" w:rsidR="00924888" w:rsidRDefault="00924888" w:rsidP="00F2433C">
      <w:pPr>
        <w:jc w:val="both"/>
        <w:rPr>
          <w:rFonts w:cs="Arial"/>
          <w:sz w:val="20"/>
          <w:lang w:eastAsia="en-GB"/>
        </w:rPr>
      </w:pPr>
    </w:p>
    <w:p w14:paraId="15F72BB3" w14:textId="0E6E1249" w:rsidR="0081234A" w:rsidRDefault="0081234A" w:rsidP="00F2433C">
      <w:pPr>
        <w:jc w:val="both"/>
        <w:rPr>
          <w:rFonts w:cs="Arial"/>
          <w:sz w:val="20"/>
          <w:lang w:eastAsia="en-GB"/>
        </w:rPr>
      </w:pPr>
    </w:p>
    <w:p w14:paraId="2FC033C4" w14:textId="7B8EB759" w:rsidR="0081234A" w:rsidRDefault="0081234A" w:rsidP="00F2433C">
      <w:pPr>
        <w:jc w:val="both"/>
        <w:rPr>
          <w:rFonts w:cs="Arial"/>
          <w:sz w:val="20"/>
          <w:lang w:eastAsia="en-GB"/>
        </w:rPr>
      </w:pPr>
    </w:p>
    <w:p w14:paraId="2D1CC6AC" w14:textId="77777777" w:rsidR="0081234A" w:rsidRDefault="0081234A" w:rsidP="00F2433C">
      <w:pPr>
        <w:jc w:val="both"/>
        <w:rPr>
          <w:rFonts w:cs="Arial"/>
          <w:sz w:val="20"/>
          <w:lang w:eastAsia="en-GB"/>
        </w:rPr>
      </w:pPr>
    </w:p>
    <w:p w14:paraId="20698999" w14:textId="0BD081EF" w:rsidR="00924888" w:rsidRDefault="00924888" w:rsidP="00F2433C">
      <w:pPr>
        <w:jc w:val="both"/>
        <w:rPr>
          <w:rFonts w:cs="Arial"/>
          <w:sz w:val="20"/>
          <w:lang w:eastAsia="en-GB"/>
        </w:rPr>
      </w:pPr>
    </w:p>
    <w:p w14:paraId="59156F03" w14:textId="77777777" w:rsidR="00924888" w:rsidRDefault="00924888" w:rsidP="00F2433C">
      <w:pPr>
        <w:jc w:val="both"/>
        <w:rPr>
          <w:rFonts w:cs="Arial"/>
          <w:sz w:val="20"/>
          <w:lang w:eastAsia="en-GB"/>
        </w:rPr>
      </w:pPr>
    </w:p>
    <w:p w14:paraId="40C47CCE" w14:textId="22ABCE0E" w:rsidR="00F2433C" w:rsidRPr="00F2433C" w:rsidRDefault="00F2433C" w:rsidP="00F2433C">
      <w:pPr>
        <w:jc w:val="both"/>
        <w:rPr>
          <w:rFonts w:cs="Arial"/>
          <w:sz w:val="20"/>
          <w:lang w:eastAsia="en-GB"/>
        </w:rPr>
      </w:pPr>
      <w:r w:rsidRPr="00F2433C">
        <w:rPr>
          <w:rFonts w:cs="Arial"/>
          <w:sz w:val="20"/>
          <w:lang w:eastAsia="en-GB"/>
        </w:rPr>
        <w:t xml:space="preserve">Table </w:t>
      </w:r>
      <w:r>
        <w:rPr>
          <w:rFonts w:cs="Arial"/>
          <w:sz w:val="20"/>
          <w:lang w:eastAsia="en-GB"/>
        </w:rPr>
        <w:t>6</w:t>
      </w:r>
      <w:r w:rsidRPr="00F2433C">
        <w:rPr>
          <w:rFonts w:cs="Arial"/>
          <w:sz w:val="20"/>
          <w:lang w:eastAsia="en-GB"/>
        </w:rPr>
        <w:t xml:space="preserve">: </w:t>
      </w:r>
      <w:r>
        <w:rPr>
          <w:rFonts w:cs="Arial"/>
          <w:sz w:val="20"/>
          <w:lang w:eastAsia="en-GB"/>
        </w:rPr>
        <w:t>Maturity Structure of Borrowing</w:t>
      </w:r>
    </w:p>
    <w:p w14:paraId="5C092552" w14:textId="54446108" w:rsidR="00F2433C" w:rsidRDefault="00C23F9C" w:rsidP="00C23F9C">
      <w:pPr>
        <w:pStyle w:val="ListParagraph"/>
        <w:ind w:left="0"/>
        <w:jc w:val="both"/>
        <w:rPr>
          <w:rFonts w:cs="Arial"/>
          <w:szCs w:val="24"/>
          <w:lang w:eastAsia="en-GB"/>
        </w:rPr>
      </w:pPr>
      <w:r w:rsidRPr="00C23F9C">
        <w:rPr>
          <w:noProof/>
        </w:rPr>
        <w:drawing>
          <wp:inline distT="0" distB="0" distL="0" distR="0" wp14:anchorId="7CA1E202" wp14:editId="056C60B5">
            <wp:extent cx="5276215" cy="13169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6215" cy="1316990"/>
                    </a:xfrm>
                    <a:prstGeom prst="rect">
                      <a:avLst/>
                    </a:prstGeom>
                    <a:noFill/>
                    <a:ln>
                      <a:noFill/>
                    </a:ln>
                  </pic:spPr>
                </pic:pic>
              </a:graphicData>
            </a:graphic>
          </wp:inline>
        </w:drawing>
      </w:r>
    </w:p>
    <w:p w14:paraId="1F71E038" w14:textId="77777777" w:rsidR="00F2433C" w:rsidRDefault="00F2433C" w:rsidP="00F2433C">
      <w:pPr>
        <w:pStyle w:val="ListParagraph"/>
        <w:ind w:left="709"/>
        <w:jc w:val="both"/>
        <w:rPr>
          <w:rFonts w:cs="Arial"/>
          <w:szCs w:val="24"/>
          <w:lang w:eastAsia="en-GB"/>
        </w:rPr>
      </w:pPr>
    </w:p>
    <w:p w14:paraId="2128C7FB" w14:textId="7CF28605" w:rsidR="004F56E4" w:rsidRPr="00644A6C" w:rsidRDefault="004F56E4" w:rsidP="004E1FB4">
      <w:pPr>
        <w:pStyle w:val="ListParagraph"/>
        <w:numPr>
          <w:ilvl w:val="1"/>
          <w:numId w:val="10"/>
        </w:numPr>
        <w:ind w:left="709" w:hanging="709"/>
        <w:jc w:val="both"/>
        <w:rPr>
          <w:rFonts w:cs="Arial"/>
          <w:szCs w:val="24"/>
          <w:lang w:eastAsia="en-GB"/>
        </w:rPr>
      </w:pPr>
      <w:r w:rsidRPr="004F56E4">
        <w:rPr>
          <w:rFonts w:cs="Arial"/>
          <w:szCs w:val="24"/>
          <w:lang w:eastAsia="en-GB"/>
        </w:rPr>
        <w:t>The Council’s forward projections for borrowing are summarised below. The table shows the actual external debt, against the underlying capital borrowing need, (the Capital Financing Requirement - CFR), highlighting any over or under borrowing.</w:t>
      </w:r>
      <w:r>
        <w:rPr>
          <w:rFonts w:cs="Arial"/>
          <w:szCs w:val="24"/>
          <w:lang w:eastAsia="en-GB"/>
        </w:rPr>
        <w:t xml:space="preserve">  </w:t>
      </w:r>
      <w:r w:rsidRPr="00644A6C">
        <w:rPr>
          <w:rFonts w:cs="Arial"/>
          <w:szCs w:val="24"/>
          <w:lang w:eastAsia="en-GB"/>
        </w:rPr>
        <w:t xml:space="preserve">The expected change in borrowing has been calculated on the basis of maintaining an under borrowing position of £150m.  </w:t>
      </w:r>
    </w:p>
    <w:p w14:paraId="3C763453" w14:textId="77777777" w:rsidR="00CD5231" w:rsidRDefault="00CD5231" w:rsidP="004F56E4">
      <w:pPr>
        <w:jc w:val="both"/>
        <w:rPr>
          <w:rFonts w:cs="Arial"/>
          <w:sz w:val="20"/>
          <w:lang w:eastAsia="en-GB"/>
        </w:rPr>
      </w:pPr>
    </w:p>
    <w:p w14:paraId="7335D09D" w14:textId="4594BE97" w:rsidR="004F56E4" w:rsidRPr="00CD5231" w:rsidRDefault="00CD5231" w:rsidP="004F56E4">
      <w:pPr>
        <w:jc w:val="both"/>
        <w:rPr>
          <w:rFonts w:cs="Arial"/>
          <w:sz w:val="20"/>
          <w:lang w:eastAsia="en-GB"/>
        </w:rPr>
      </w:pPr>
      <w:r>
        <w:rPr>
          <w:rFonts w:cs="Arial"/>
          <w:sz w:val="20"/>
          <w:lang w:eastAsia="en-GB"/>
        </w:rPr>
        <w:t>T</w:t>
      </w:r>
      <w:r w:rsidR="004F56E4" w:rsidRPr="00CD5231">
        <w:rPr>
          <w:rFonts w:cs="Arial"/>
          <w:sz w:val="20"/>
          <w:lang w:eastAsia="en-GB"/>
        </w:rPr>
        <w:t xml:space="preserve">able </w:t>
      </w:r>
      <w:r w:rsidR="00C23F9C">
        <w:rPr>
          <w:rFonts w:cs="Arial"/>
          <w:sz w:val="20"/>
          <w:lang w:eastAsia="en-GB"/>
        </w:rPr>
        <w:t>7</w:t>
      </w:r>
      <w:r w:rsidR="004F56E4" w:rsidRPr="00CD5231">
        <w:rPr>
          <w:rFonts w:cs="Arial"/>
          <w:sz w:val="20"/>
          <w:lang w:eastAsia="en-GB"/>
        </w:rPr>
        <w:t>: Gross Debt v Capital Financing Requirement</w:t>
      </w:r>
    </w:p>
    <w:p w14:paraId="79FEC180" w14:textId="64549749" w:rsidR="004F56E4" w:rsidRPr="004F56E4" w:rsidRDefault="004F56E4" w:rsidP="004F56E4">
      <w:pPr>
        <w:jc w:val="both"/>
        <w:rPr>
          <w:rFonts w:cs="Arial"/>
          <w:szCs w:val="24"/>
          <w:lang w:eastAsia="en-GB"/>
        </w:rPr>
      </w:pPr>
      <w:r w:rsidRPr="004F56E4">
        <w:rPr>
          <w:noProof/>
        </w:rPr>
        <w:drawing>
          <wp:inline distT="0" distB="0" distL="0" distR="0" wp14:anchorId="10127549" wp14:editId="63589C10">
            <wp:extent cx="5276215" cy="1712595"/>
            <wp:effectExtent l="0" t="0" r="63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6215" cy="1712595"/>
                    </a:xfrm>
                    <a:prstGeom prst="rect">
                      <a:avLst/>
                    </a:prstGeom>
                    <a:noFill/>
                    <a:ln>
                      <a:noFill/>
                    </a:ln>
                  </pic:spPr>
                </pic:pic>
              </a:graphicData>
            </a:graphic>
          </wp:inline>
        </w:drawing>
      </w:r>
    </w:p>
    <w:p w14:paraId="134FD3E8" w14:textId="77777777" w:rsidR="004F56E4" w:rsidRDefault="004F56E4" w:rsidP="004F56E4">
      <w:pPr>
        <w:jc w:val="both"/>
        <w:rPr>
          <w:rFonts w:cs="Arial"/>
          <w:szCs w:val="24"/>
          <w:lang w:eastAsia="en-GB"/>
        </w:rPr>
      </w:pPr>
    </w:p>
    <w:p w14:paraId="2DE5E618" w14:textId="77777777" w:rsidR="004F56E4" w:rsidRDefault="004F56E4" w:rsidP="004E1FB4">
      <w:pPr>
        <w:pStyle w:val="ListParagraph"/>
        <w:numPr>
          <w:ilvl w:val="1"/>
          <w:numId w:val="10"/>
        </w:numPr>
        <w:ind w:left="709" w:hanging="709"/>
        <w:jc w:val="both"/>
        <w:rPr>
          <w:rFonts w:cs="Arial"/>
          <w:szCs w:val="24"/>
          <w:lang w:eastAsia="en-GB"/>
        </w:rPr>
      </w:pPr>
      <w:r w:rsidRPr="004F56E4">
        <w:rPr>
          <w:rFonts w:cs="Arial"/>
          <w:szCs w:val="24"/>
          <w:lang w:eastAsia="en-GB"/>
        </w:rPr>
        <w:t>Within the range of prudential indicators there are a number of key indicators to ensure that the Council operates its activities within well-defined limits.  One of these is that the Council needs to ensure that its gross debt does not, except in the short term, exceed the total of the CFR in the preceding year plus the estimates of any additional CFR for 2021/22 and the following two financial years.  This allows some flexibility for limited early borrowing for future years but ensures that borrowing is not undertaken for revenue or speculative purposes.</w:t>
      </w:r>
    </w:p>
    <w:p w14:paraId="1A01FC00" w14:textId="5836158F" w:rsidR="004F56E4" w:rsidRPr="004F56E4" w:rsidRDefault="004F56E4" w:rsidP="004F56E4">
      <w:pPr>
        <w:pStyle w:val="ListParagraph"/>
        <w:ind w:left="709"/>
        <w:jc w:val="both"/>
        <w:rPr>
          <w:rFonts w:cs="Arial"/>
          <w:szCs w:val="24"/>
          <w:lang w:eastAsia="en-GB"/>
        </w:rPr>
      </w:pPr>
      <w:r w:rsidRPr="004F56E4">
        <w:rPr>
          <w:rFonts w:cs="Arial"/>
          <w:szCs w:val="24"/>
          <w:lang w:eastAsia="en-GB"/>
        </w:rPr>
        <w:t xml:space="preserve">      </w:t>
      </w:r>
    </w:p>
    <w:p w14:paraId="6F52BD0A" w14:textId="77777777" w:rsidR="00C23F9C" w:rsidRDefault="004F56E4" w:rsidP="004E1FB4">
      <w:pPr>
        <w:pStyle w:val="ListParagraph"/>
        <w:numPr>
          <w:ilvl w:val="1"/>
          <w:numId w:val="10"/>
        </w:numPr>
        <w:ind w:left="709" w:hanging="709"/>
        <w:jc w:val="both"/>
        <w:rPr>
          <w:rFonts w:cs="Arial"/>
          <w:szCs w:val="24"/>
          <w:lang w:eastAsia="en-GB"/>
        </w:rPr>
      </w:pPr>
      <w:r w:rsidRPr="004F56E4">
        <w:rPr>
          <w:rFonts w:cs="Arial"/>
          <w:szCs w:val="24"/>
          <w:lang w:eastAsia="en-GB"/>
        </w:rPr>
        <w:t xml:space="preserve">The Director of Finance reports that the Council complied with this prudential indicator in the current year and does not envisage difficulties for the future.  This view takes into account current commitments, existing plans, and the proposals in this budget report. </w:t>
      </w:r>
    </w:p>
    <w:p w14:paraId="542B258A" w14:textId="77777777" w:rsidR="00C23F9C" w:rsidRPr="00C23F9C" w:rsidRDefault="00C23F9C" w:rsidP="00C23F9C">
      <w:pPr>
        <w:pStyle w:val="ListParagraph"/>
        <w:rPr>
          <w:rFonts w:cs="Arial"/>
          <w:szCs w:val="24"/>
          <w:lang w:eastAsia="en-GB"/>
        </w:rPr>
      </w:pPr>
    </w:p>
    <w:p w14:paraId="318D210D" w14:textId="1481FC0A" w:rsidR="00C23F9C" w:rsidRDefault="00C23F9C" w:rsidP="004E1FB4">
      <w:pPr>
        <w:pStyle w:val="ListParagraph"/>
        <w:numPr>
          <w:ilvl w:val="1"/>
          <w:numId w:val="10"/>
        </w:numPr>
        <w:ind w:left="709" w:hanging="709"/>
        <w:jc w:val="both"/>
        <w:rPr>
          <w:rFonts w:cs="Arial"/>
          <w:szCs w:val="24"/>
          <w:lang w:eastAsia="en-GB"/>
        </w:rPr>
      </w:pPr>
      <w:r>
        <w:rPr>
          <w:rFonts w:cs="Arial"/>
          <w:szCs w:val="24"/>
          <w:lang w:eastAsia="en-GB"/>
        </w:rPr>
        <w:t xml:space="preserve">The Prudential Code framework is a </w:t>
      </w:r>
      <w:r w:rsidR="0081234A">
        <w:rPr>
          <w:rFonts w:cs="Arial"/>
          <w:szCs w:val="24"/>
          <w:lang w:eastAsia="en-GB"/>
        </w:rPr>
        <w:t>principles-based</w:t>
      </w:r>
      <w:r>
        <w:rPr>
          <w:rFonts w:cs="Arial"/>
          <w:szCs w:val="24"/>
          <w:lang w:eastAsia="en-GB"/>
        </w:rPr>
        <w:t xml:space="preserve"> system whereby the Council </w:t>
      </w:r>
      <w:r w:rsidR="00B80383">
        <w:rPr>
          <w:rFonts w:cs="Arial"/>
          <w:szCs w:val="24"/>
          <w:lang w:eastAsia="en-GB"/>
        </w:rPr>
        <w:t>should</w:t>
      </w:r>
      <w:r>
        <w:rPr>
          <w:rFonts w:cs="Arial"/>
          <w:szCs w:val="24"/>
          <w:lang w:eastAsia="en-GB"/>
        </w:rPr>
        <w:t xml:space="preserve"> demonstrate that its capital plans are prudent, affordable and sustainable.  One of the Prudential Indicators </w:t>
      </w:r>
      <w:r w:rsidR="00B80383">
        <w:rPr>
          <w:rFonts w:cs="Arial"/>
          <w:szCs w:val="24"/>
          <w:lang w:eastAsia="en-GB"/>
        </w:rPr>
        <w:t>of affordability</w:t>
      </w:r>
      <w:r>
        <w:rPr>
          <w:rFonts w:cs="Arial"/>
          <w:szCs w:val="24"/>
          <w:lang w:eastAsia="en-GB"/>
        </w:rPr>
        <w:t xml:space="preserve"> is the ratio of financing costs to net revenue stream, assessing the</w:t>
      </w:r>
      <w:r w:rsidR="00B80383">
        <w:rPr>
          <w:rFonts w:cs="Arial"/>
          <w:szCs w:val="24"/>
          <w:lang w:eastAsia="en-GB"/>
        </w:rPr>
        <w:t xml:space="preserve"> actual and estimated</w:t>
      </w:r>
      <w:r>
        <w:rPr>
          <w:rFonts w:cs="Arial"/>
          <w:szCs w:val="24"/>
          <w:lang w:eastAsia="en-GB"/>
        </w:rPr>
        <w:t xml:space="preserve"> cost of capital against the income of the Authority.  T</w:t>
      </w:r>
      <w:r w:rsidR="00B80383">
        <w:rPr>
          <w:rFonts w:cs="Arial"/>
          <w:szCs w:val="24"/>
          <w:lang w:eastAsia="en-GB"/>
        </w:rPr>
        <w:t>able 8</w:t>
      </w:r>
      <w:r>
        <w:rPr>
          <w:rFonts w:cs="Arial"/>
          <w:szCs w:val="24"/>
          <w:lang w:eastAsia="en-GB"/>
        </w:rPr>
        <w:t xml:space="preserve"> provides the expected trends based on the forthcoming capital programme, for both the General Fund and HRA.</w:t>
      </w:r>
    </w:p>
    <w:p w14:paraId="12DFBE3D" w14:textId="77777777" w:rsidR="00B80383" w:rsidRPr="00B80383" w:rsidRDefault="00B80383" w:rsidP="00B80383">
      <w:pPr>
        <w:pStyle w:val="ListParagraph"/>
        <w:rPr>
          <w:rFonts w:cs="Arial"/>
          <w:szCs w:val="24"/>
          <w:lang w:eastAsia="en-GB"/>
        </w:rPr>
      </w:pPr>
    </w:p>
    <w:p w14:paraId="458177DA" w14:textId="330AB2AF" w:rsidR="00B80383" w:rsidRDefault="00B80383" w:rsidP="00B80383">
      <w:pPr>
        <w:jc w:val="both"/>
        <w:rPr>
          <w:rFonts w:cs="Arial"/>
          <w:szCs w:val="24"/>
          <w:lang w:eastAsia="en-GB"/>
        </w:rPr>
      </w:pPr>
    </w:p>
    <w:p w14:paraId="3C75A0F1" w14:textId="07AC0E54" w:rsidR="00B80383" w:rsidRDefault="00B80383" w:rsidP="00B80383">
      <w:pPr>
        <w:jc w:val="both"/>
        <w:rPr>
          <w:rFonts w:cs="Arial"/>
          <w:szCs w:val="24"/>
          <w:lang w:eastAsia="en-GB"/>
        </w:rPr>
      </w:pPr>
    </w:p>
    <w:p w14:paraId="6EAE58A5" w14:textId="318BB19F" w:rsidR="00B80383" w:rsidRDefault="00B80383" w:rsidP="00B80383">
      <w:pPr>
        <w:jc w:val="both"/>
        <w:rPr>
          <w:rFonts w:cs="Arial"/>
          <w:szCs w:val="24"/>
          <w:lang w:eastAsia="en-GB"/>
        </w:rPr>
      </w:pPr>
    </w:p>
    <w:p w14:paraId="5FAEEBAA" w14:textId="645B80FD" w:rsidR="00B80383" w:rsidRPr="00B80383" w:rsidRDefault="00B80383" w:rsidP="00B80383">
      <w:pPr>
        <w:jc w:val="both"/>
        <w:rPr>
          <w:sz w:val="20"/>
          <w:szCs w:val="16"/>
        </w:rPr>
      </w:pPr>
      <w:r w:rsidRPr="00B80383">
        <w:rPr>
          <w:sz w:val="20"/>
          <w:szCs w:val="16"/>
        </w:rPr>
        <w:t xml:space="preserve">Table 8: Ratio of </w:t>
      </w:r>
      <w:r>
        <w:rPr>
          <w:sz w:val="20"/>
          <w:szCs w:val="16"/>
        </w:rPr>
        <w:t>Financing Costs to Net Revenue Stream</w:t>
      </w:r>
    </w:p>
    <w:p w14:paraId="362DFCB7" w14:textId="411BD287" w:rsidR="00B80383" w:rsidRPr="00B80383" w:rsidRDefault="00A821A3" w:rsidP="00B80383">
      <w:pPr>
        <w:jc w:val="both"/>
        <w:rPr>
          <w:rFonts w:cs="Arial"/>
          <w:szCs w:val="24"/>
          <w:lang w:eastAsia="en-GB"/>
        </w:rPr>
      </w:pPr>
      <w:r w:rsidRPr="00A821A3">
        <w:rPr>
          <w:noProof/>
        </w:rPr>
        <w:drawing>
          <wp:inline distT="0" distB="0" distL="0" distR="0" wp14:anchorId="4B75477B" wp14:editId="66271E23">
            <wp:extent cx="5276215" cy="97726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6215" cy="977265"/>
                    </a:xfrm>
                    <a:prstGeom prst="rect">
                      <a:avLst/>
                    </a:prstGeom>
                    <a:noFill/>
                    <a:ln>
                      <a:noFill/>
                    </a:ln>
                  </pic:spPr>
                </pic:pic>
              </a:graphicData>
            </a:graphic>
          </wp:inline>
        </w:drawing>
      </w:r>
    </w:p>
    <w:p w14:paraId="285101BE" w14:textId="77777777" w:rsidR="00C23F9C" w:rsidRPr="00C23F9C" w:rsidRDefault="00C23F9C" w:rsidP="00C23F9C">
      <w:pPr>
        <w:pStyle w:val="ListParagraph"/>
        <w:rPr>
          <w:rFonts w:cs="Arial"/>
          <w:szCs w:val="24"/>
          <w:lang w:eastAsia="en-GB"/>
        </w:rPr>
      </w:pPr>
    </w:p>
    <w:p w14:paraId="02F71241" w14:textId="77777777" w:rsidR="004F56E4" w:rsidRPr="004F56E4" w:rsidRDefault="004F56E4" w:rsidP="004F56E4">
      <w:pPr>
        <w:pStyle w:val="subhead"/>
        <w:numPr>
          <w:ilvl w:val="0"/>
          <w:numId w:val="0"/>
        </w:numPr>
        <w:rPr>
          <w:noProof w:val="0"/>
          <w:sz w:val="24"/>
          <w:szCs w:val="24"/>
        </w:rPr>
      </w:pPr>
      <w:bookmarkStart w:id="5" w:name="_Toc60749550"/>
      <w:r w:rsidRPr="004F56E4">
        <w:rPr>
          <w:noProof w:val="0"/>
          <w:sz w:val="24"/>
          <w:szCs w:val="24"/>
        </w:rPr>
        <w:t>Treasury Indicators: limits to borrowing activity</w:t>
      </w:r>
      <w:bookmarkEnd w:id="5"/>
    </w:p>
    <w:p w14:paraId="3FBC308D" w14:textId="1271229F" w:rsidR="00CD5231" w:rsidRPr="00CD5231" w:rsidRDefault="00CD5231" w:rsidP="00CD5231">
      <w:pPr>
        <w:pStyle w:val="subhead"/>
        <w:numPr>
          <w:ilvl w:val="0"/>
          <w:numId w:val="0"/>
        </w:numPr>
        <w:rPr>
          <w:noProof w:val="0"/>
          <w:sz w:val="24"/>
          <w:szCs w:val="24"/>
        </w:rPr>
      </w:pPr>
      <w:r w:rsidRPr="00CD5231">
        <w:rPr>
          <w:noProof w:val="0"/>
          <w:sz w:val="24"/>
          <w:szCs w:val="24"/>
        </w:rPr>
        <w:t>The operational boundary</w:t>
      </w:r>
    </w:p>
    <w:p w14:paraId="319F6C90" w14:textId="77777777" w:rsidR="00CD5231" w:rsidRPr="00CD5231" w:rsidRDefault="00CD5231" w:rsidP="004E1FB4">
      <w:pPr>
        <w:pStyle w:val="ListParagraph"/>
        <w:numPr>
          <w:ilvl w:val="1"/>
          <w:numId w:val="10"/>
        </w:numPr>
        <w:ind w:left="709" w:hanging="709"/>
        <w:jc w:val="both"/>
        <w:rPr>
          <w:rFonts w:cs="Arial"/>
          <w:szCs w:val="24"/>
          <w:lang w:eastAsia="en-GB"/>
        </w:rPr>
      </w:pPr>
      <w:r w:rsidRPr="00CD5231">
        <w:rPr>
          <w:rFonts w:cs="Arial"/>
          <w:szCs w:val="24"/>
          <w:lang w:eastAsia="en-GB"/>
        </w:rPr>
        <w:t xml:space="preserve">This is the limit beyond which external debt is not normally expected to exceed.  The boundary is based on the Council’s programme for capital expenditure, capital financing requirement and cash flow requirements for the year.  </w:t>
      </w:r>
    </w:p>
    <w:p w14:paraId="45DF09F7" w14:textId="77777777" w:rsidR="00CD5231" w:rsidRPr="00CD5231" w:rsidRDefault="00CD5231" w:rsidP="004F56E4">
      <w:pPr>
        <w:jc w:val="both"/>
        <w:rPr>
          <w:rFonts w:cs="Arial"/>
          <w:sz w:val="18"/>
          <w:szCs w:val="18"/>
          <w:lang w:eastAsia="en-GB"/>
        </w:rPr>
      </w:pPr>
    </w:p>
    <w:p w14:paraId="2215260C" w14:textId="6389F8E1" w:rsidR="00CD5231" w:rsidRPr="00CD5231" w:rsidRDefault="00CD5231" w:rsidP="004F56E4">
      <w:pPr>
        <w:jc w:val="both"/>
        <w:rPr>
          <w:rFonts w:cs="Arial"/>
          <w:sz w:val="20"/>
          <w:lang w:eastAsia="en-GB"/>
        </w:rPr>
      </w:pPr>
      <w:r w:rsidRPr="00CD5231">
        <w:rPr>
          <w:rFonts w:cs="Arial"/>
          <w:sz w:val="20"/>
          <w:lang w:eastAsia="en-GB"/>
        </w:rPr>
        <w:t xml:space="preserve">Table </w:t>
      </w:r>
      <w:r w:rsidR="00B80383">
        <w:rPr>
          <w:rFonts w:cs="Arial"/>
          <w:sz w:val="20"/>
          <w:lang w:eastAsia="en-GB"/>
        </w:rPr>
        <w:t>9</w:t>
      </w:r>
      <w:r w:rsidRPr="00CD5231">
        <w:rPr>
          <w:rFonts w:cs="Arial"/>
          <w:sz w:val="20"/>
          <w:lang w:eastAsia="en-GB"/>
        </w:rPr>
        <w:t>: Operational Boundary</w:t>
      </w:r>
    </w:p>
    <w:p w14:paraId="6509F238" w14:textId="77777777" w:rsidR="00CD5231" w:rsidRDefault="00CD5231" w:rsidP="004F56E4">
      <w:pPr>
        <w:jc w:val="both"/>
        <w:rPr>
          <w:rFonts w:cs="Arial"/>
          <w:szCs w:val="24"/>
          <w:lang w:eastAsia="en-GB"/>
        </w:rPr>
      </w:pPr>
      <w:r w:rsidRPr="00CD5231">
        <w:rPr>
          <w:noProof/>
        </w:rPr>
        <w:drawing>
          <wp:inline distT="0" distB="0" distL="0" distR="0" wp14:anchorId="26A3ACFD" wp14:editId="3143CD27">
            <wp:extent cx="5276215" cy="925195"/>
            <wp:effectExtent l="0" t="0" r="635"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6215" cy="925195"/>
                    </a:xfrm>
                    <a:prstGeom prst="rect">
                      <a:avLst/>
                    </a:prstGeom>
                    <a:noFill/>
                    <a:ln>
                      <a:noFill/>
                    </a:ln>
                  </pic:spPr>
                </pic:pic>
              </a:graphicData>
            </a:graphic>
          </wp:inline>
        </w:drawing>
      </w:r>
    </w:p>
    <w:p w14:paraId="0FBAF543" w14:textId="77777777" w:rsidR="00CD5231" w:rsidRPr="00CD5231" w:rsidRDefault="00CD5231" w:rsidP="00CD5231">
      <w:pPr>
        <w:pStyle w:val="subhead"/>
        <w:numPr>
          <w:ilvl w:val="0"/>
          <w:numId w:val="0"/>
        </w:numPr>
        <w:rPr>
          <w:noProof w:val="0"/>
          <w:sz w:val="24"/>
          <w:szCs w:val="24"/>
        </w:rPr>
      </w:pPr>
      <w:r w:rsidRPr="00CD5231">
        <w:rPr>
          <w:noProof w:val="0"/>
          <w:sz w:val="24"/>
          <w:szCs w:val="24"/>
        </w:rPr>
        <w:t xml:space="preserve">The authorised limit for external debt. </w:t>
      </w:r>
    </w:p>
    <w:p w14:paraId="56DF97BB" w14:textId="61213D65" w:rsidR="00CD5231" w:rsidRDefault="00CD5231" w:rsidP="004E1FB4">
      <w:pPr>
        <w:pStyle w:val="ListParagraph"/>
        <w:numPr>
          <w:ilvl w:val="1"/>
          <w:numId w:val="10"/>
        </w:numPr>
        <w:ind w:left="709" w:hanging="709"/>
        <w:jc w:val="both"/>
        <w:rPr>
          <w:rFonts w:cs="Arial"/>
          <w:szCs w:val="24"/>
          <w:lang w:eastAsia="en-GB"/>
        </w:rPr>
      </w:pPr>
      <w:r w:rsidRPr="00CD5231">
        <w:rPr>
          <w:rFonts w:cs="Arial"/>
          <w:szCs w:val="24"/>
          <w:lang w:eastAsia="en-GB"/>
        </w:rPr>
        <w:t xml:space="preserve">This is a key prudential indicator and represents a control on the maximum level of borrowing. This represents a legal limit beyond which external debt is prohibited, and this limit needs to be set or revised by the full Council.  </w:t>
      </w:r>
    </w:p>
    <w:p w14:paraId="533D321E" w14:textId="77777777" w:rsidR="00CD5231" w:rsidRPr="00CD5231" w:rsidRDefault="00CD5231" w:rsidP="00CD5231">
      <w:pPr>
        <w:pStyle w:val="ListParagraph"/>
        <w:ind w:left="709"/>
        <w:jc w:val="both"/>
        <w:rPr>
          <w:rFonts w:cs="Arial"/>
          <w:szCs w:val="24"/>
          <w:lang w:eastAsia="en-GB"/>
        </w:rPr>
      </w:pPr>
    </w:p>
    <w:p w14:paraId="5ACCC08A" w14:textId="6DB88E59" w:rsidR="00CD5231" w:rsidRDefault="00CD5231" w:rsidP="004E1FB4">
      <w:pPr>
        <w:pStyle w:val="ListParagraph"/>
        <w:numPr>
          <w:ilvl w:val="1"/>
          <w:numId w:val="10"/>
        </w:numPr>
        <w:ind w:left="709" w:hanging="709"/>
        <w:jc w:val="both"/>
        <w:rPr>
          <w:rFonts w:cs="Arial"/>
          <w:szCs w:val="24"/>
          <w:lang w:eastAsia="en-GB"/>
        </w:rPr>
      </w:pPr>
      <w:r w:rsidRPr="00CD5231">
        <w:rPr>
          <w:rFonts w:cs="Arial"/>
          <w:szCs w:val="24"/>
          <w:lang w:eastAsia="en-GB"/>
        </w:rPr>
        <w:t>This is the statutory limit determined under section 3 (1) of the Local Government Act 2003. The Government retains an option to control either the total of all councils’ plans, or those of a specific council, although this power has not yet been exercised.</w:t>
      </w:r>
    </w:p>
    <w:p w14:paraId="5C39EA49" w14:textId="77777777" w:rsidR="00CD5231" w:rsidRPr="00CD5231" w:rsidRDefault="00CD5231" w:rsidP="00CD5231">
      <w:pPr>
        <w:jc w:val="both"/>
        <w:rPr>
          <w:rFonts w:cs="Arial"/>
          <w:szCs w:val="24"/>
          <w:lang w:eastAsia="en-GB"/>
        </w:rPr>
      </w:pPr>
    </w:p>
    <w:p w14:paraId="7C0365A4" w14:textId="77777777" w:rsidR="00CD5231" w:rsidRPr="00CD5231" w:rsidRDefault="00CD5231" w:rsidP="004E1FB4">
      <w:pPr>
        <w:pStyle w:val="ListParagraph"/>
        <w:numPr>
          <w:ilvl w:val="1"/>
          <w:numId w:val="10"/>
        </w:numPr>
        <w:ind w:left="709" w:hanging="709"/>
        <w:jc w:val="both"/>
        <w:rPr>
          <w:rFonts w:cs="Arial"/>
          <w:szCs w:val="24"/>
          <w:lang w:eastAsia="en-GB"/>
        </w:rPr>
      </w:pPr>
      <w:r w:rsidRPr="00CD5231">
        <w:rPr>
          <w:rFonts w:cs="Arial"/>
          <w:szCs w:val="24"/>
          <w:lang w:eastAsia="en-GB"/>
        </w:rPr>
        <w:t>The Council is asked to approve the following authorised limit:</w:t>
      </w:r>
    </w:p>
    <w:p w14:paraId="069F29EC" w14:textId="77777777" w:rsidR="00CD5231" w:rsidRDefault="00CD5231" w:rsidP="004F56E4">
      <w:pPr>
        <w:jc w:val="both"/>
        <w:rPr>
          <w:rFonts w:cs="Arial"/>
          <w:szCs w:val="24"/>
          <w:lang w:eastAsia="en-GB"/>
        </w:rPr>
      </w:pPr>
    </w:p>
    <w:p w14:paraId="6B2791F3" w14:textId="6C5A2936" w:rsidR="00CD5231" w:rsidRPr="00CD5231" w:rsidRDefault="00CD5231" w:rsidP="004F56E4">
      <w:pPr>
        <w:jc w:val="both"/>
        <w:rPr>
          <w:rFonts w:cs="Arial"/>
          <w:sz w:val="20"/>
          <w:lang w:eastAsia="en-GB"/>
        </w:rPr>
      </w:pPr>
      <w:r w:rsidRPr="00CD5231">
        <w:rPr>
          <w:rFonts w:cs="Arial"/>
          <w:sz w:val="20"/>
          <w:lang w:eastAsia="en-GB"/>
        </w:rPr>
        <w:t xml:space="preserve">Table </w:t>
      </w:r>
      <w:r w:rsidR="00B80383">
        <w:rPr>
          <w:rFonts w:cs="Arial"/>
          <w:sz w:val="20"/>
          <w:lang w:eastAsia="en-GB"/>
        </w:rPr>
        <w:t>10</w:t>
      </w:r>
      <w:r w:rsidRPr="00CD5231">
        <w:rPr>
          <w:rFonts w:cs="Arial"/>
          <w:sz w:val="20"/>
          <w:lang w:eastAsia="en-GB"/>
        </w:rPr>
        <w:t>: Authorised Limit</w:t>
      </w:r>
    </w:p>
    <w:p w14:paraId="2A67315E" w14:textId="3D65099B" w:rsidR="00CD5231" w:rsidRDefault="00CD5231" w:rsidP="004F56E4">
      <w:pPr>
        <w:jc w:val="both"/>
        <w:rPr>
          <w:rFonts w:cs="Arial"/>
          <w:szCs w:val="24"/>
          <w:lang w:eastAsia="en-GB"/>
        </w:rPr>
      </w:pPr>
      <w:r w:rsidRPr="00CD5231">
        <w:rPr>
          <w:noProof/>
        </w:rPr>
        <w:drawing>
          <wp:inline distT="0" distB="0" distL="0" distR="0" wp14:anchorId="247440D9" wp14:editId="268244DE">
            <wp:extent cx="5276215" cy="925195"/>
            <wp:effectExtent l="0" t="0" r="635"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6215" cy="925195"/>
                    </a:xfrm>
                    <a:prstGeom prst="rect">
                      <a:avLst/>
                    </a:prstGeom>
                    <a:noFill/>
                    <a:ln>
                      <a:noFill/>
                    </a:ln>
                  </pic:spPr>
                </pic:pic>
              </a:graphicData>
            </a:graphic>
          </wp:inline>
        </w:drawing>
      </w:r>
    </w:p>
    <w:p w14:paraId="01A916B1" w14:textId="77777777" w:rsidR="00CD5231" w:rsidRDefault="00CD5231" w:rsidP="004F56E4">
      <w:pPr>
        <w:jc w:val="both"/>
        <w:rPr>
          <w:rFonts w:cs="Arial"/>
          <w:szCs w:val="24"/>
          <w:lang w:eastAsia="en-GB"/>
        </w:rPr>
      </w:pPr>
    </w:p>
    <w:p w14:paraId="54F2DD87" w14:textId="77777777" w:rsidR="00CD5231" w:rsidRDefault="00CD5231" w:rsidP="004F56E4">
      <w:pPr>
        <w:jc w:val="both"/>
        <w:rPr>
          <w:rFonts w:cs="Arial"/>
          <w:b/>
          <w:bCs/>
          <w:szCs w:val="24"/>
          <w:lang w:eastAsia="en-GB"/>
        </w:rPr>
      </w:pPr>
      <w:r w:rsidRPr="00CD5231">
        <w:rPr>
          <w:rFonts w:cs="Arial"/>
          <w:b/>
          <w:bCs/>
          <w:szCs w:val="24"/>
          <w:lang w:eastAsia="en-GB"/>
        </w:rPr>
        <w:t>Prospects for Interest Rates</w:t>
      </w:r>
    </w:p>
    <w:p w14:paraId="42795379" w14:textId="71973076" w:rsidR="00CD5231" w:rsidRDefault="00CD5231" w:rsidP="004F56E4">
      <w:pPr>
        <w:jc w:val="both"/>
        <w:rPr>
          <w:rFonts w:cs="Arial"/>
          <w:b/>
          <w:bCs/>
          <w:szCs w:val="24"/>
          <w:lang w:eastAsia="en-GB"/>
        </w:rPr>
      </w:pPr>
    </w:p>
    <w:p w14:paraId="502B1ED8" w14:textId="1B4B609D" w:rsidR="009E715C" w:rsidRDefault="009E715C" w:rsidP="004F56E4">
      <w:pPr>
        <w:jc w:val="both"/>
        <w:rPr>
          <w:rFonts w:cs="Arial"/>
          <w:b/>
          <w:bCs/>
          <w:szCs w:val="24"/>
          <w:lang w:eastAsia="en-GB"/>
        </w:rPr>
      </w:pPr>
      <w:r>
        <w:rPr>
          <w:rFonts w:cs="Arial"/>
          <w:b/>
          <w:bCs/>
          <w:szCs w:val="24"/>
          <w:lang w:eastAsia="en-GB"/>
        </w:rPr>
        <w:t>PWLB Consultation</w:t>
      </w:r>
    </w:p>
    <w:p w14:paraId="7BF6E04B" w14:textId="49079E0C" w:rsidR="009E715C" w:rsidRDefault="009E715C" w:rsidP="009E715C">
      <w:pPr>
        <w:pStyle w:val="ListParagraph"/>
        <w:numPr>
          <w:ilvl w:val="1"/>
          <w:numId w:val="10"/>
        </w:numPr>
        <w:ind w:left="709" w:hanging="709"/>
        <w:jc w:val="both"/>
        <w:rPr>
          <w:rFonts w:eastAsia="Bliss 2 Regular" w:cs="Arial"/>
          <w:color w:val="0D0D0D"/>
        </w:rPr>
      </w:pPr>
      <w:r w:rsidRPr="007E6539">
        <w:rPr>
          <w:rFonts w:eastAsia="Bliss 2 Regular" w:cs="Arial"/>
          <w:color w:val="0D0D0D"/>
        </w:rPr>
        <w:t xml:space="preserve">In response to concerns about commercial activity being undertaken by local authorities supported through borrowing from the PWLB HM </w:t>
      </w:r>
      <w:r w:rsidRPr="007E6539">
        <w:rPr>
          <w:rFonts w:eastAsia="Bliss 2 Regular" w:cs="Arial"/>
          <w:color w:val="0D0D0D"/>
        </w:rPr>
        <w:lastRenderedPageBreak/>
        <w:t>Treasury increase the margin over the Gilt applied to all PWLB borrowing on the 9th October 2019 from 0.8% to 1.8% above the Gilt.</w:t>
      </w:r>
    </w:p>
    <w:p w14:paraId="4447157D" w14:textId="77777777" w:rsidR="009E715C" w:rsidRDefault="009E715C" w:rsidP="009E715C">
      <w:pPr>
        <w:pStyle w:val="ListParagraph"/>
        <w:ind w:left="709"/>
        <w:jc w:val="both"/>
        <w:rPr>
          <w:rFonts w:eastAsia="Bliss 2 Regular" w:cs="Arial"/>
          <w:color w:val="0D0D0D"/>
        </w:rPr>
      </w:pPr>
    </w:p>
    <w:p w14:paraId="3EA369D8" w14:textId="16AD1B1B" w:rsidR="007E6539" w:rsidRPr="009E715C" w:rsidRDefault="009E715C" w:rsidP="009E715C">
      <w:pPr>
        <w:pStyle w:val="ListParagraph"/>
        <w:numPr>
          <w:ilvl w:val="1"/>
          <w:numId w:val="10"/>
        </w:numPr>
        <w:ind w:left="709" w:hanging="709"/>
        <w:jc w:val="both"/>
        <w:rPr>
          <w:rFonts w:eastAsia="Bliss 2 Regular" w:cs="Arial"/>
          <w:color w:val="0D0D0D"/>
        </w:rPr>
      </w:pPr>
      <w:r w:rsidRPr="009E715C">
        <w:rPr>
          <w:rFonts w:eastAsia="Bliss 2 Regular" w:cs="Arial"/>
          <w:color w:val="0D0D0D"/>
        </w:rPr>
        <w:t>In March 2020 HM Treasury reversed this for HRA borrowing (with reference to the HRA CFR) and announced a consultation on the future lending terms of the PWLB.  The Governments response to the consultation was published in November 2020, and reversed the additional 1% margin imposed on General Fund borrowing subject to local authority’s confirming that they have no purely commercial activity within their three year capital programme, which will come from data submissions of the capital programme accompanied by an assurance from the s151 officer.  Subject to this criteria being met borrowing for both the General Fund and HRA is now back at a margin of 80bps above the Gilt.</w:t>
      </w:r>
    </w:p>
    <w:p w14:paraId="59D991AF" w14:textId="77777777" w:rsidR="007E6539" w:rsidRDefault="007E6539" w:rsidP="007E6539">
      <w:pPr>
        <w:pStyle w:val="ListParagraph"/>
        <w:ind w:left="709"/>
        <w:jc w:val="both"/>
        <w:rPr>
          <w:rFonts w:cs="Arial"/>
          <w:szCs w:val="24"/>
          <w:lang w:eastAsia="en-GB"/>
        </w:rPr>
      </w:pPr>
    </w:p>
    <w:p w14:paraId="438412D6" w14:textId="678594C1" w:rsidR="00CD5231" w:rsidRDefault="00CD5231" w:rsidP="004E1FB4">
      <w:pPr>
        <w:pStyle w:val="ListParagraph"/>
        <w:numPr>
          <w:ilvl w:val="1"/>
          <w:numId w:val="10"/>
        </w:numPr>
        <w:ind w:left="709" w:hanging="709"/>
        <w:jc w:val="both"/>
        <w:rPr>
          <w:rFonts w:cs="Arial"/>
          <w:szCs w:val="24"/>
          <w:lang w:eastAsia="en-GB"/>
        </w:rPr>
      </w:pPr>
      <w:r w:rsidRPr="00CD5231">
        <w:rPr>
          <w:rFonts w:cs="Arial"/>
          <w:szCs w:val="24"/>
          <w:lang w:eastAsia="en-GB"/>
        </w:rPr>
        <w:t>The</w:t>
      </w:r>
      <w:r w:rsidR="007E6539">
        <w:rPr>
          <w:rFonts w:cs="Arial"/>
          <w:szCs w:val="24"/>
          <w:lang w:eastAsia="en-GB"/>
        </w:rPr>
        <w:t xml:space="preserve"> Council’s</w:t>
      </w:r>
      <w:r w:rsidRPr="00CD5231">
        <w:rPr>
          <w:rFonts w:cs="Arial"/>
          <w:szCs w:val="24"/>
          <w:lang w:eastAsia="en-GB"/>
        </w:rPr>
        <w:t xml:space="preserve"> Treasury Management Adviser</w:t>
      </w:r>
      <w:r w:rsidR="007E6539">
        <w:rPr>
          <w:rFonts w:cs="Arial"/>
          <w:szCs w:val="24"/>
          <w:lang w:eastAsia="en-GB"/>
        </w:rPr>
        <w:t>, Link Asset Services,</w:t>
      </w:r>
      <w:r w:rsidRPr="00CD5231">
        <w:rPr>
          <w:rFonts w:cs="Arial"/>
          <w:szCs w:val="24"/>
          <w:lang w:eastAsia="en-GB"/>
        </w:rPr>
        <w:t xml:space="preserve"> has provided</w:t>
      </w:r>
      <w:r w:rsidR="007E6539">
        <w:rPr>
          <w:rFonts w:cs="Arial"/>
          <w:szCs w:val="24"/>
          <w:lang w:eastAsia="en-GB"/>
        </w:rPr>
        <w:t xml:space="preserve"> the following interest rate forecast.  Additional</w:t>
      </w:r>
      <w:r w:rsidRPr="00CD5231">
        <w:rPr>
          <w:rFonts w:cs="Arial"/>
          <w:szCs w:val="24"/>
          <w:lang w:eastAsia="en-GB"/>
        </w:rPr>
        <w:t xml:space="preserve"> commentary on the prospects for </w:t>
      </w:r>
      <w:r w:rsidRPr="00924888">
        <w:rPr>
          <w:rFonts w:cs="Arial"/>
          <w:szCs w:val="24"/>
          <w:lang w:eastAsia="en-GB"/>
        </w:rPr>
        <w:t>interest rates, (Appendix D) and economic background, (Appendix E)</w:t>
      </w:r>
      <w:r w:rsidR="007E6539">
        <w:rPr>
          <w:rFonts w:cs="Arial"/>
          <w:szCs w:val="24"/>
          <w:lang w:eastAsia="en-GB"/>
        </w:rPr>
        <w:t xml:space="preserve"> are contained within the appendices to this report.</w:t>
      </w:r>
    </w:p>
    <w:p w14:paraId="0AA88F47" w14:textId="77777777" w:rsidR="00B80383" w:rsidRPr="00B80383" w:rsidRDefault="00B80383" w:rsidP="00B80383">
      <w:pPr>
        <w:jc w:val="both"/>
        <w:rPr>
          <w:rFonts w:cs="Arial"/>
          <w:szCs w:val="24"/>
          <w:lang w:eastAsia="en-GB"/>
        </w:rPr>
      </w:pPr>
    </w:p>
    <w:p w14:paraId="7A884331" w14:textId="69A2C69F" w:rsidR="007E6539" w:rsidRPr="00B80383" w:rsidRDefault="00B80383" w:rsidP="007E6539">
      <w:pPr>
        <w:rPr>
          <w:rFonts w:cs="Arial"/>
          <w:sz w:val="20"/>
          <w:lang w:eastAsia="en-GB"/>
        </w:rPr>
      </w:pPr>
      <w:r w:rsidRPr="00B80383">
        <w:rPr>
          <w:rFonts w:cs="Arial"/>
          <w:sz w:val="20"/>
          <w:lang w:eastAsia="en-GB"/>
        </w:rPr>
        <w:t>Table 11: Link Asset Services Interest Rate Forecast</w:t>
      </w:r>
      <w:r>
        <w:rPr>
          <w:rFonts w:cs="Arial"/>
          <w:sz w:val="20"/>
          <w:lang w:eastAsia="en-GB"/>
        </w:rPr>
        <w:t xml:space="preserve"> 2021-2024</w:t>
      </w:r>
    </w:p>
    <w:p w14:paraId="73377328" w14:textId="0CCC2334" w:rsidR="007E6539" w:rsidRDefault="007E6539" w:rsidP="007E6539">
      <w:pPr>
        <w:pStyle w:val="ListParagraph"/>
        <w:ind w:left="0"/>
        <w:jc w:val="both"/>
        <w:rPr>
          <w:rFonts w:cs="Arial"/>
          <w:szCs w:val="24"/>
          <w:lang w:eastAsia="en-GB"/>
        </w:rPr>
      </w:pPr>
      <w:r>
        <w:rPr>
          <w:rFonts w:cs="Arial"/>
          <w:noProof/>
          <w:szCs w:val="24"/>
          <w:lang w:eastAsia="en-GB"/>
        </w:rPr>
        <w:drawing>
          <wp:inline distT="0" distB="0" distL="0" distR="0" wp14:anchorId="0E6F47E1" wp14:editId="03A76821">
            <wp:extent cx="5276215" cy="1503826"/>
            <wp:effectExtent l="0" t="0" r="635"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a:extLst>
                        <a:ext uri="{28A0092B-C50C-407E-A947-70E740481C1C}">
                          <a14:useLocalDpi xmlns:a14="http://schemas.microsoft.com/office/drawing/2010/main" val="0"/>
                        </a:ext>
                      </a:extLst>
                    </a:blip>
                    <a:srcRect t="17708"/>
                    <a:stretch/>
                  </pic:blipFill>
                  <pic:spPr bwMode="auto">
                    <a:xfrm>
                      <a:off x="0" y="0"/>
                      <a:ext cx="5276215" cy="1503826"/>
                    </a:xfrm>
                    <a:prstGeom prst="rect">
                      <a:avLst/>
                    </a:prstGeom>
                    <a:noFill/>
                    <a:ln>
                      <a:noFill/>
                    </a:ln>
                    <a:extLst>
                      <a:ext uri="{53640926-AAD7-44D8-BBD7-CCE9431645EC}">
                        <a14:shadowObscured xmlns:a14="http://schemas.microsoft.com/office/drawing/2010/main"/>
                      </a:ext>
                    </a:extLst>
                  </pic:spPr>
                </pic:pic>
              </a:graphicData>
            </a:graphic>
          </wp:inline>
        </w:drawing>
      </w:r>
    </w:p>
    <w:p w14:paraId="4ADBD1FC" w14:textId="77777777" w:rsidR="007E6539" w:rsidRPr="007E6539" w:rsidRDefault="007E6539" w:rsidP="007E6539">
      <w:pPr>
        <w:pStyle w:val="ListParagraph"/>
        <w:rPr>
          <w:rFonts w:cs="Arial"/>
          <w:szCs w:val="24"/>
          <w:lang w:eastAsia="en-GB"/>
        </w:rPr>
      </w:pPr>
    </w:p>
    <w:p w14:paraId="71F50B7D" w14:textId="645507AB" w:rsidR="007E6539" w:rsidRPr="007E6539" w:rsidRDefault="007E6539" w:rsidP="007E6539">
      <w:pPr>
        <w:pStyle w:val="ListParagraph"/>
        <w:numPr>
          <w:ilvl w:val="1"/>
          <w:numId w:val="10"/>
        </w:numPr>
        <w:ind w:left="709" w:hanging="709"/>
        <w:jc w:val="both"/>
        <w:rPr>
          <w:rFonts w:cs="Arial"/>
          <w:szCs w:val="24"/>
          <w:lang w:eastAsia="en-GB"/>
        </w:rPr>
      </w:pPr>
      <w:r w:rsidRPr="007E6539">
        <w:rPr>
          <w:rFonts w:cs="Arial"/>
          <w:szCs w:val="24"/>
          <w:lang w:eastAsia="en-GB"/>
        </w:rPr>
        <w:t>As the interest forecast table</w:t>
      </w:r>
      <w:r w:rsidR="00924888">
        <w:rPr>
          <w:rFonts w:cs="Arial"/>
          <w:szCs w:val="24"/>
          <w:lang w:eastAsia="en-GB"/>
        </w:rPr>
        <w:t xml:space="preserve"> above illustrates</w:t>
      </w:r>
      <w:r w:rsidRPr="007E6539">
        <w:rPr>
          <w:rFonts w:cs="Arial"/>
          <w:szCs w:val="24"/>
          <w:lang w:eastAsia="en-GB"/>
        </w:rPr>
        <w:t xml:space="preserve">, there is expected to be little upward movement in PWLB rates over the next two years as it will take economies, including the UK, a prolonged period to recover all the momentum they have lost in the sharp recession caused during the coronavirus shut down period. From time to time, gilt yields, and therefore PWLB rates, can be subject to exceptional levels of volatility due to geo-political, sovereign debt crisis, emerging market developments and sharp changes in investor sentiment, (as shown on 9th November when the first results of a successful COVID-19 vaccine trial were announced). Such volatility could occur at any time during the forecast period. </w:t>
      </w:r>
    </w:p>
    <w:p w14:paraId="60C6BBCF" w14:textId="77777777" w:rsidR="007E6539" w:rsidRPr="00803FAA" w:rsidRDefault="007E6539" w:rsidP="007E6539">
      <w:pPr>
        <w:jc w:val="both"/>
        <w:rPr>
          <w:rFonts w:eastAsia="Calibri" w:cs="Arial"/>
          <w:sz w:val="22"/>
          <w:szCs w:val="22"/>
        </w:rPr>
      </w:pPr>
    </w:p>
    <w:p w14:paraId="0AB02521" w14:textId="228D0E60" w:rsidR="00CD5231" w:rsidRPr="00CD5231" w:rsidRDefault="00CD5231" w:rsidP="00CD5231">
      <w:pPr>
        <w:jc w:val="both"/>
        <w:rPr>
          <w:rFonts w:cs="Arial"/>
          <w:b/>
          <w:bCs/>
          <w:szCs w:val="24"/>
          <w:lang w:eastAsia="en-GB"/>
        </w:rPr>
      </w:pPr>
      <w:bookmarkStart w:id="6" w:name="_Toc60749552"/>
      <w:r w:rsidRPr="00CD5231">
        <w:rPr>
          <w:b/>
          <w:bCs/>
        </w:rPr>
        <w:t>Borrowing strategy</w:t>
      </w:r>
      <w:bookmarkEnd w:id="6"/>
    </w:p>
    <w:p w14:paraId="0012AB01" w14:textId="77777777" w:rsidR="00CD5231" w:rsidRDefault="00CD5231" w:rsidP="004F56E4">
      <w:pPr>
        <w:jc w:val="both"/>
        <w:rPr>
          <w:rFonts w:cs="Arial"/>
          <w:b/>
          <w:bCs/>
          <w:szCs w:val="24"/>
          <w:lang w:eastAsia="en-GB"/>
        </w:rPr>
      </w:pPr>
    </w:p>
    <w:p w14:paraId="3417E317" w14:textId="601B7E0A" w:rsidR="00CD5231" w:rsidRDefault="00CD5231" w:rsidP="004E1FB4">
      <w:pPr>
        <w:pStyle w:val="ListParagraph"/>
        <w:numPr>
          <w:ilvl w:val="1"/>
          <w:numId w:val="10"/>
        </w:numPr>
        <w:ind w:left="709" w:hanging="709"/>
        <w:jc w:val="both"/>
        <w:rPr>
          <w:rFonts w:cs="Arial"/>
          <w:szCs w:val="24"/>
          <w:lang w:eastAsia="en-GB"/>
        </w:rPr>
      </w:pPr>
      <w:r w:rsidRPr="00CD5231">
        <w:rPr>
          <w:rFonts w:cs="Arial"/>
          <w:szCs w:val="24"/>
          <w:lang w:eastAsia="en-GB"/>
        </w:rPr>
        <w:t xml:space="preserve">As shown in </w:t>
      </w:r>
      <w:r>
        <w:rPr>
          <w:rFonts w:cs="Arial"/>
          <w:szCs w:val="24"/>
          <w:lang w:eastAsia="en-GB"/>
        </w:rPr>
        <w:t>paragraph</w:t>
      </w:r>
      <w:r w:rsidRPr="00CD5231">
        <w:rPr>
          <w:rFonts w:cs="Arial"/>
          <w:szCs w:val="24"/>
          <w:lang w:eastAsia="en-GB"/>
        </w:rPr>
        <w:t xml:space="preserve"> 3.</w:t>
      </w:r>
      <w:r>
        <w:rPr>
          <w:rFonts w:cs="Arial"/>
          <w:szCs w:val="24"/>
          <w:lang w:eastAsia="en-GB"/>
        </w:rPr>
        <w:t>2</w:t>
      </w:r>
      <w:r w:rsidRPr="00CD5231">
        <w:rPr>
          <w:rFonts w:cs="Arial"/>
          <w:szCs w:val="24"/>
          <w:lang w:eastAsia="en-GB"/>
        </w:rPr>
        <w:t xml:space="preserve"> as at 31 December 2019 the Council had a debt portfolio of £422.261m and with an average maturity of 37.3 years. Despite historical low borrowing costs there remains a </w:t>
      </w:r>
      <w:r w:rsidR="0081234A" w:rsidRPr="00CD5231">
        <w:rPr>
          <w:rFonts w:cs="Arial"/>
          <w:szCs w:val="24"/>
          <w:lang w:eastAsia="en-GB"/>
        </w:rPr>
        <w:t>short-term</w:t>
      </w:r>
      <w:r w:rsidRPr="00CD5231">
        <w:rPr>
          <w:rFonts w:cs="Arial"/>
          <w:szCs w:val="24"/>
          <w:lang w:eastAsia="en-GB"/>
        </w:rPr>
        <w:t xml:space="preserve"> cost of carrying excessive debt due to the differential between investment and borrowing costs.</w:t>
      </w:r>
    </w:p>
    <w:p w14:paraId="06B6AE26" w14:textId="77777777" w:rsidR="00CD5231" w:rsidRPr="00CD5231" w:rsidRDefault="00CD5231" w:rsidP="00CD5231">
      <w:pPr>
        <w:pStyle w:val="ListParagraph"/>
        <w:ind w:left="709"/>
        <w:jc w:val="both"/>
        <w:rPr>
          <w:rFonts w:cs="Arial"/>
          <w:szCs w:val="24"/>
          <w:lang w:eastAsia="en-GB"/>
        </w:rPr>
      </w:pPr>
    </w:p>
    <w:p w14:paraId="136FAA52" w14:textId="20482273" w:rsidR="00CD5231" w:rsidRDefault="00CD5231" w:rsidP="004E1FB4">
      <w:pPr>
        <w:pStyle w:val="ListParagraph"/>
        <w:numPr>
          <w:ilvl w:val="1"/>
          <w:numId w:val="10"/>
        </w:numPr>
        <w:ind w:left="709" w:hanging="709"/>
        <w:jc w:val="both"/>
        <w:rPr>
          <w:rFonts w:cs="Arial"/>
          <w:szCs w:val="24"/>
          <w:lang w:eastAsia="en-GB"/>
        </w:rPr>
      </w:pPr>
      <w:r w:rsidRPr="00924888">
        <w:rPr>
          <w:rFonts w:cs="Arial"/>
          <w:szCs w:val="24"/>
          <w:lang w:eastAsia="en-GB"/>
        </w:rPr>
        <w:t>The Council is currently maintaining an under-borrowed position, estimated to be £155m as at 31st March 2021.</w:t>
      </w:r>
      <w:r w:rsidRPr="00CD5231">
        <w:rPr>
          <w:rFonts w:cs="Arial"/>
          <w:szCs w:val="24"/>
          <w:lang w:eastAsia="en-GB"/>
        </w:rPr>
        <w:t xml:space="preserve"> This means that the </w:t>
      </w:r>
      <w:r w:rsidRPr="00CD5231">
        <w:rPr>
          <w:rFonts w:cs="Arial"/>
          <w:szCs w:val="24"/>
          <w:lang w:eastAsia="en-GB"/>
        </w:rPr>
        <w:lastRenderedPageBreak/>
        <w:t xml:space="preserve">capital financing </w:t>
      </w:r>
      <w:r w:rsidR="0081234A" w:rsidRPr="00CD5231">
        <w:rPr>
          <w:rFonts w:cs="Arial"/>
          <w:szCs w:val="24"/>
          <w:lang w:eastAsia="en-GB"/>
        </w:rPr>
        <w:t>requirement has</w:t>
      </w:r>
      <w:r w:rsidRPr="00CD5231">
        <w:rPr>
          <w:rFonts w:cs="Arial"/>
          <w:szCs w:val="24"/>
          <w:lang w:eastAsia="en-GB"/>
        </w:rPr>
        <w:t xml:space="preserve"> not been fully funded with external loan debt as internal cash balances have been used  to finance the capital programme.  This strategy is kept under review by the Director of Finance.</w:t>
      </w:r>
    </w:p>
    <w:p w14:paraId="22978019" w14:textId="77777777" w:rsidR="00CD5231" w:rsidRPr="00CD5231" w:rsidRDefault="00CD5231" w:rsidP="00CD5231">
      <w:pPr>
        <w:jc w:val="both"/>
        <w:rPr>
          <w:rFonts w:cs="Arial"/>
          <w:szCs w:val="24"/>
          <w:lang w:eastAsia="en-GB"/>
        </w:rPr>
      </w:pPr>
    </w:p>
    <w:p w14:paraId="3DE5D1C6" w14:textId="6C84C929" w:rsidR="00CD5231" w:rsidRDefault="00CD5231" w:rsidP="004E1FB4">
      <w:pPr>
        <w:pStyle w:val="ListParagraph"/>
        <w:numPr>
          <w:ilvl w:val="1"/>
          <w:numId w:val="10"/>
        </w:numPr>
        <w:ind w:left="709" w:hanging="709"/>
        <w:jc w:val="both"/>
        <w:rPr>
          <w:rFonts w:cs="Arial"/>
          <w:szCs w:val="24"/>
          <w:lang w:eastAsia="en-GB"/>
        </w:rPr>
      </w:pPr>
      <w:r w:rsidRPr="00CD5231">
        <w:rPr>
          <w:rFonts w:cs="Arial"/>
          <w:szCs w:val="24"/>
          <w:lang w:eastAsia="en-GB"/>
        </w:rPr>
        <w:t xml:space="preserve">In terms of future borrowing, the Council has a range of funding sources available and will need to base its decisions on optimum borrowing times and periods taking into account current interest rates and likely future movements and the “cost of carry” (difference between rates for borrowing and rates for investments). </w:t>
      </w:r>
    </w:p>
    <w:p w14:paraId="3D260994" w14:textId="77777777" w:rsidR="00CD5231" w:rsidRPr="00CD5231" w:rsidRDefault="00CD5231" w:rsidP="00CD5231">
      <w:pPr>
        <w:jc w:val="both"/>
        <w:rPr>
          <w:rFonts w:cs="Arial"/>
          <w:szCs w:val="24"/>
          <w:lang w:eastAsia="en-GB"/>
        </w:rPr>
      </w:pPr>
    </w:p>
    <w:p w14:paraId="066709FC" w14:textId="77777777" w:rsidR="00CD5231" w:rsidRDefault="00CD5231" w:rsidP="004E1FB4">
      <w:pPr>
        <w:pStyle w:val="ListParagraph"/>
        <w:numPr>
          <w:ilvl w:val="1"/>
          <w:numId w:val="10"/>
        </w:numPr>
        <w:ind w:left="709" w:hanging="709"/>
        <w:jc w:val="both"/>
        <w:rPr>
          <w:rFonts w:cs="Arial"/>
          <w:szCs w:val="24"/>
          <w:lang w:eastAsia="en-GB"/>
        </w:rPr>
      </w:pPr>
      <w:r w:rsidRPr="00CD5231">
        <w:rPr>
          <w:rFonts w:cs="Arial"/>
          <w:szCs w:val="24"/>
          <w:lang w:eastAsia="en-GB"/>
        </w:rPr>
        <w:t>It may be necessary to use temporary borrowing either from the money markets or from other local authorities to cover mismatches in timing between capital grants and payments.  However, with several Government grants now paid early in the financial year and robust daily monitoring of the cash flow position, the facility is unlikely.</w:t>
      </w:r>
    </w:p>
    <w:p w14:paraId="34AD656F" w14:textId="31B4F6A6" w:rsidR="00CD5231" w:rsidRPr="00CD5231" w:rsidRDefault="00CD5231" w:rsidP="00CD5231">
      <w:pPr>
        <w:jc w:val="both"/>
        <w:rPr>
          <w:rFonts w:cs="Arial"/>
          <w:szCs w:val="24"/>
          <w:lang w:eastAsia="en-GB"/>
        </w:rPr>
      </w:pPr>
      <w:r w:rsidRPr="00CD5231">
        <w:rPr>
          <w:rFonts w:cs="Arial"/>
          <w:szCs w:val="24"/>
          <w:lang w:eastAsia="en-GB"/>
        </w:rPr>
        <w:t xml:space="preserve"> </w:t>
      </w:r>
    </w:p>
    <w:p w14:paraId="7B191841" w14:textId="06F997BD" w:rsidR="00CD5231" w:rsidRPr="00CD5231" w:rsidRDefault="00CD5231" w:rsidP="004E1FB4">
      <w:pPr>
        <w:pStyle w:val="ListParagraph"/>
        <w:numPr>
          <w:ilvl w:val="1"/>
          <w:numId w:val="10"/>
        </w:numPr>
        <w:ind w:left="709" w:hanging="709"/>
        <w:jc w:val="both"/>
        <w:rPr>
          <w:rFonts w:cs="Arial"/>
          <w:szCs w:val="24"/>
          <w:lang w:eastAsia="en-GB"/>
        </w:rPr>
      </w:pPr>
      <w:r w:rsidRPr="00CD5231">
        <w:rPr>
          <w:rFonts w:cs="Arial"/>
          <w:szCs w:val="24"/>
          <w:lang w:eastAsia="en-GB"/>
        </w:rPr>
        <w:t>Against this background and the risks within the economic forecast, caution will be adopted in the 2021/22 treasury management operations.  The Treasury Management Group will monitor interest rates in financial markets and adopt a pragmatic approach to changing circumstances. This includes taking advice from Link</w:t>
      </w:r>
      <w:r w:rsidR="00F9072E">
        <w:rPr>
          <w:rFonts w:cs="Arial"/>
          <w:szCs w:val="24"/>
          <w:lang w:eastAsia="en-GB"/>
        </w:rPr>
        <w:t>, the Council’s</w:t>
      </w:r>
      <w:r w:rsidRPr="00CD5231">
        <w:rPr>
          <w:rFonts w:cs="Arial"/>
          <w:szCs w:val="24"/>
          <w:lang w:eastAsia="en-GB"/>
        </w:rPr>
        <w:t xml:space="preserve"> Treasury Management Advisers:</w:t>
      </w:r>
    </w:p>
    <w:p w14:paraId="0CC47A04" w14:textId="77777777" w:rsidR="00CD5231" w:rsidRPr="00CD5231" w:rsidRDefault="00CD5231" w:rsidP="00CD5231">
      <w:pPr>
        <w:pStyle w:val="ListParagraph"/>
        <w:ind w:left="709"/>
        <w:jc w:val="both"/>
        <w:rPr>
          <w:rFonts w:cs="Arial"/>
          <w:i/>
          <w:iCs/>
          <w:szCs w:val="24"/>
          <w:lang w:eastAsia="en-GB"/>
        </w:rPr>
      </w:pPr>
    </w:p>
    <w:p w14:paraId="68899D6E" w14:textId="77777777" w:rsidR="00CD5231" w:rsidRPr="00CD5231" w:rsidRDefault="00CD5231" w:rsidP="004E1FB4">
      <w:pPr>
        <w:pStyle w:val="ListParagraph"/>
        <w:numPr>
          <w:ilvl w:val="0"/>
          <w:numId w:val="11"/>
        </w:numPr>
        <w:jc w:val="both"/>
        <w:rPr>
          <w:rFonts w:cs="Arial"/>
          <w:i/>
          <w:iCs/>
        </w:rPr>
      </w:pPr>
      <w:r w:rsidRPr="00CD5231">
        <w:rPr>
          <w:rFonts w:cs="Arial"/>
          <w:i/>
          <w:iCs/>
        </w:rPr>
        <w:t>if it was felt that there was a significant risk of a sharp FALL in borrowing rates, then borrowing will be postponed.</w:t>
      </w:r>
    </w:p>
    <w:p w14:paraId="026964B9" w14:textId="77777777" w:rsidR="00CD5231" w:rsidRPr="00CD5231" w:rsidRDefault="00CD5231" w:rsidP="00CD5231">
      <w:pPr>
        <w:ind w:left="360"/>
        <w:jc w:val="both"/>
        <w:rPr>
          <w:rFonts w:cs="Arial"/>
          <w:i/>
          <w:iCs/>
          <w:sz w:val="22"/>
          <w:szCs w:val="22"/>
        </w:rPr>
      </w:pPr>
    </w:p>
    <w:p w14:paraId="2049C5EE" w14:textId="77777777" w:rsidR="00CD5231" w:rsidRPr="00CD5231" w:rsidRDefault="00CD5231" w:rsidP="004E1FB4">
      <w:pPr>
        <w:pStyle w:val="ListParagraph"/>
        <w:numPr>
          <w:ilvl w:val="0"/>
          <w:numId w:val="11"/>
        </w:numPr>
        <w:jc w:val="both"/>
        <w:rPr>
          <w:rFonts w:cs="Arial"/>
          <w:i/>
          <w:iCs/>
        </w:rPr>
      </w:pPr>
      <w:r w:rsidRPr="00CD5231">
        <w:rPr>
          <w:rFonts w:cs="Arial"/>
          <w:i/>
          <w:iCs/>
        </w:rPr>
        <w:t>if it was felt that there was a significant risk of a much sharper RISE in borrowing rates than that currently forecast, perhaps arising from an acceleration in the rate of increase in central rates in the USA and UK, an increase in world economic activity, or a sudden increase in inflation risks, then the portfolio position will be re-appraised. Most likely, fixed rate funding will be drawn whilst interest rates are lower than they are projected to be in the next few years.</w:t>
      </w:r>
    </w:p>
    <w:p w14:paraId="493B0232" w14:textId="77777777" w:rsidR="00CD5231" w:rsidRDefault="00CD5231" w:rsidP="00CD5231">
      <w:pPr>
        <w:numPr>
          <w:ilvl w:val="12"/>
          <w:numId w:val="0"/>
        </w:numPr>
        <w:spacing w:before="90"/>
        <w:ind w:left="357"/>
        <w:jc w:val="both"/>
        <w:rPr>
          <w:rFonts w:cs="Arial"/>
          <w:sz w:val="22"/>
          <w:szCs w:val="22"/>
        </w:rPr>
      </w:pPr>
    </w:p>
    <w:p w14:paraId="77D0149F" w14:textId="02D9600D" w:rsidR="00CD5231" w:rsidRDefault="00CD5231" w:rsidP="004E1FB4">
      <w:pPr>
        <w:pStyle w:val="ListParagraph"/>
        <w:numPr>
          <w:ilvl w:val="1"/>
          <w:numId w:val="10"/>
        </w:numPr>
        <w:ind w:left="709" w:hanging="709"/>
        <w:jc w:val="both"/>
        <w:rPr>
          <w:rFonts w:cs="Arial"/>
          <w:szCs w:val="24"/>
          <w:lang w:eastAsia="en-GB"/>
        </w:rPr>
      </w:pPr>
      <w:r w:rsidRPr="00CD5231">
        <w:rPr>
          <w:rFonts w:cs="Arial"/>
          <w:szCs w:val="24"/>
          <w:lang w:eastAsia="en-GB"/>
        </w:rPr>
        <w:t>The Council has previously adopted a single pooled approach for debt.  Allocations to HRA are based on its CFR, with interest charged to HRA at the average rate on all external borrowing.  Longer term, the HRA’s ability to repay borrowing will depend on future revenues and the capital expenditure programme.  New HRA debt taken from 2019/20 is maintained in a separate pool.</w:t>
      </w:r>
    </w:p>
    <w:p w14:paraId="15354E99" w14:textId="4805B361" w:rsidR="00CD5231" w:rsidRDefault="00CD5231" w:rsidP="00CD5231">
      <w:pPr>
        <w:pStyle w:val="subhead"/>
        <w:numPr>
          <w:ilvl w:val="0"/>
          <w:numId w:val="0"/>
        </w:numPr>
        <w:ind w:left="360" w:hanging="360"/>
        <w:rPr>
          <w:noProof w:val="0"/>
          <w:sz w:val="24"/>
          <w:szCs w:val="24"/>
        </w:rPr>
      </w:pPr>
      <w:bookmarkStart w:id="7" w:name="_Toc60749553"/>
      <w:r w:rsidRPr="00CD5231">
        <w:rPr>
          <w:noProof w:val="0"/>
          <w:sz w:val="24"/>
          <w:szCs w:val="24"/>
        </w:rPr>
        <w:t>Policy on borrowing in advance of need</w:t>
      </w:r>
      <w:bookmarkEnd w:id="7"/>
      <w:r w:rsidRPr="00CD5231">
        <w:rPr>
          <w:noProof w:val="0"/>
          <w:sz w:val="24"/>
          <w:szCs w:val="24"/>
        </w:rPr>
        <w:t xml:space="preserve"> </w:t>
      </w:r>
    </w:p>
    <w:p w14:paraId="1F166A31" w14:textId="77777777" w:rsidR="00CD5231" w:rsidRPr="00CD5231" w:rsidRDefault="00CD5231" w:rsidP="004E1FB4">
      <w:pPr>
        <w:pStyle w:val="ListParagraph"/>
        <w:numPr>
          <w:ilvl w:val="1"/>
          <w:numId w:val="10"/>
        </w:numPr>
        <w:ind w:left="709" w:hanging="709"/>
        <w:jc w:val="both"/>
        <w:rPr>
          <w:rFonts w:cs="Arial"/>
          <w:szCs w:val="24"/>
          <w:lang w:eastAsia="en-GB"/>
        </w:rPr>
      </w:pPr>
      <w:r w:rsidRPr="00CD5231">
        <w:rPr>
          <w:rFonts w:cs="Arial"/>
          <w:szCs w:val="24"/>
          <w:lang w:eastAsia="en-GB"/>
        </w:rPr>
        <w:t xml:space="preserve">The Council will not borrow more than or in advance of its needs purely in order to profit from the investment of the extra sums borrowed. Any decision to borrow in advance will be within forward approved Capital Financing Requirement estimates and will be considered carefully to ensure that value for money can be demonstrated and that the Council can ensure the security of such funds. </w:t>
      </w:r>
    </w:p>
    <w:p w14:paraId="39F4A2B5" w14:textId="77777777" w:rsidR="00CD5231" w:rsidRPr="00CD5231" w:rsidRDefault="00CD5231" w:rsidP="00CD5231">
      <w:pPr>
        <w:pStyle w:val="ListParagraph"/>
        <w:ind w:left="709"/>
        <w:jc w:val="both"/>
        <w:rPr>
          <w:rFonts w:cs="Arial"/>
          <w:szCs w:val="24"/>
          <w:lang w:eastAsia="en-GB"/>
        </w:rPr>
      </w:pPr>
    </w:p>
    <w:p w14:paraId="7912C979" w14:textId="202D01B2" w:rsidR="00CD5231" w:rsidRDefault="00CD5231" w:rsidP="004E1FB4">
      <w:pPr>
        <w:pStyle w:val="ListParagraph"/>
        <w:numPr>
          <w:ilvl w:val="1"/>
          <w:numId w:val="10"/>
        </w:numPr>
        <w:ind w:left="709" w:hanging="709"/>
        <w:jc w:val="both"/>
        <w:rPr>
          <w:rFonts w:cs="Arial"/>
          <w:szCs w:val="24"/>
          <w:lang w:eastAsia="en-GB"/>
        </w:rPr>
      </w:pPr>
      <w:r w:rsidRPr="00CD5231">
        <w:rPr>
          <w:rFonts w:cs="Arial"/>
          <w:szCs w:val="24"/>
          <w:lang w:eastAsia="en-GB"/>
        </w:rPr>
        <w:lastRenderedPageBreak/>
        <w:t xml:space="preserve">Risks associated with any borrowing in advance activity will be subject to prior appraisal and subsequent reporting through the mid-year or annual reporting mechanism. </w:t>
      </w:r>
    </w:p>
    <w:p w14:paraId="4CB89B9E" w14:textId="77777777" w:rsidR="00CD5231" w:rsidRPr="00CD5231" w:rsidRDefault="00CD5231" w:rsidP="00CD5231">
      <w:pPr>
        <w:pStyle w:val="subhead"/>
        <w:numPr>
          <w:ilvl w:val="0"/>
          <w:numId w:val="0"/>
        </w:numPr>
        <w:ind w:left="360" w:hanging="360"/>
        <w:rPr>
          <w:noProof w:val="0"/>
          <w:sz w:val="24"/>
          <w:szCs w:val="24"/>
        </w:rPr>
      </w:pPr>
      <w:bookmarkStart w:id="8" w:name="_Toc60749554"/>
      <w:r w:rsidRPr="00CD5231">
        <w:rPr>
          <w:noProof w:val="0"/>
          <w:sz w:val="24"/>
          <w:szCs w:val="24"/>
        </w:rPr>
        <w:t>Debt rescheduling</w:t>
      </w:r>
      <w:bookmarkEnd w:id="8"/>
    </w:p>
    <w:p w14:paraId="23F06DB5" w14:textId="77777777" w:rsidR="00CD5231" w:rsidRPr="00CD5231" w:rsidRDefault="00CD5231" w:rsidP="004E1FB4">
      <w:pPr>
        <w:pStyle w:val="ListParagraph"/>
        <w:numPr>
          <w:ilvl w:val="1"/>
          <w:numId w:val="10"/>
        </w:numPr>
        <w:ind w:left="709" w:hanging="709"/>
        <w:jc w:val="both"/>
        <w:rPr>
          <w:rFonts w:cs="Arial"/>
          <w:szCs w:val="24"/>
          <w:lang w:eastAsia="en-GB"/>
        </w:rPr>
      </w:pPr>
      <w:r w:rsidRPr="00CD5231">
        <w:rPr>
          <w:rFonts w:cs="Arial"/>
          <w:szCs w:val="24"/>
          <w:lang w:eastAsia="en-GB"/>
        </w:rPr>
        <w:t xml:space="preserve">Rescheduling of current borrowing in our debt portfolio is unlikely to occur due to the differential in PWLB new borrowing and premature redemption rates and the premiums quoted by market providers in respect of the Councils remaining LOBO loans. </w:t>
      </w:r>
    </w:p>
    <w:p w14:paraId="59AD8375" w14:textId="77777777" w:rsidR="00CD5231" w:rsidRPr="00CD5231" w:rsidRDefault="00CD5231" w:rsidP="00CD5231">
      <w:pPr>
        <w:pStyle w:val="ListParagraph"/>
        <w:ind w:left="709"/>
        <w:jc w:val="both"/>
        <w:rPr>
          <w:rFonts w:cs="Arial"/>
          <w:szCs w:val="24"/>
          <w:lang w:eastAsia="en-GB"/>
        </w:rPr>
      </w:pPr>
    </w:p>
    <w:p w14:paraId="7098FD03" w14:textId="77777777" w:rsidR="00CD5231" w:rsidRPr="00CD5231" w:rsidRDefault="00CD5231" w:rsidP="004E1FB4">
      <w:pPr>
        <w:pStyle w:val="ListParagraph"/>
        <w:numPr>
          <w:ilvl w:val="1"/>
          <w:numId w:val="10"/>
        </w:numPr>
        <w:ind w:left="709" w:hanging="709"/>
        <w:jc w:val="both"/>
        <w:rPr>
          <w:rFonts w:cs="Arial"/>
          <w:szCs w:val="24"/>
          <w:lang w:eastAsia="en-GB"/>
        </w:rPr>
      </w:pPr>
      <w:r w:rsidRPr="00CD5231">
        <w:rPr>
          <w:rFonts w:cs="Arial"/>
          <w:szCs w:val="24"/>
          <w:lang w:eastAsia="en-GB"/>
        </w:rPr>
        <w:t>Any debt rescheduling opportunities will be reviewed and assessed in respect of providing a benefit to the Authority over the remaining life of the loan(s).</w:t>
      </w:r>
    </w:p>
    <w:p w14:paraId="382F504E" w14:textId="77777777" w:rsidR="00CD5231" w:rsidRPr="00CD5231" w:rsidRDefault="00CD5231" w:rsidP="00CD5231">
      <w:pPr>
        <w:pStyle w:val="ListParagraph"/>
        <w:ind w:left="709"/>
        <w:jc w:val="both"/>
        <w:rPr>
          <w:rFonts w:cs="Arial"/>
          <w:szCs w:val="24"/>
          <w:lang w:eastAsia="en-GB"/>
        </w:rPr>
      </w:pPr>
    </w:p>
    <w:p w14:paraId="0A288FB0" w14:textId="77777777" w:rsidR="00CD5231" w:rsidRPr="00CD5231" w:rsidRDefault="00CD5231" w:rsidP="004E1FB4">
      <w:pPr>
        <w:pStyle w:val="ListParagraph"/>
        <w:numPr>
          <w:ilvl w:val="1"/>
          <w:numId w:val="10"/>
        </w:numPr>
        <w:ind w:left="709" w:hanging="709"/>
        <w:jc w:val="both"/>
        <w:rPr>
          <w:rFonts w:cs="Arial"/>
          <w:szCs w:val="24"/>
          <w:lang w:eastAsia="en-GB"/>
        </w:rPr>
      </w:pPr>
      <w:r w:rsidRPr="00CD5231">
        <w:rPr>
          <w:rFonts w:cs="Arial"/>
          <w:szCs w:val="24"/>
          <w:lang w:eastAsia="en-GB"/>
        </w:rPr>
        <w:t>All rescheduling will be reported to Cabinet at the earliest meeting following the exercise.</w:t>
      </w:r>
    </w:p>
    <w:p w14:paraId="794A32CF" w14:textId="77777777" w:rsidR="00CD5231" w:rsidRPr="00CD5231" w:rsidRDefault="00CD5231" w:rsidP="00CD5231">
      <w:pPr>
        <w:pStyle w:val="subhead"/>
        <w:numPr>
          <w:ilvl w:val="0"/>
          <w:numId w:val="0"/>
        </w:numPr>
        <w:ind w:left="360" w:hanging="360"/>
        <w:rPr>
          <w:noProof w:val="0"/>
          <w:sz w:val="24"/>
          <w:szCs w:val="24"/>
        </w:rPr>
      </w:pPr>
      <w:r w:rsidRPr="00CD5231">
        <w:rPr>
          <w:noProof w:val="0"/>
          <w:sz w:val="24"/>
          <w:szCs w:val="24"/>
        </w:rPr>
        <w:t>Approved Sources of Long and Short term Borrowing</w:t>
      </w:r>
    </w:p>
    <w:p w14:paraId="2DEE5943" w14:textId="77777777" w:rsidR="00CD5231" w:rsidRPr="00A75E24" w:rsidRDefault="00CD5231" w:rsidP="00CD5231">
      <w:pPr>
        <w:tabs>
          <w:tab w:val="left" w:pos="360"/>
          <w:tab w:val="center" w:pos="6379"/>
          <w:tab w:val="center" w:pos="7797"/>
          <w:tab w:val="center" w:pos="8280"/>
          <w:tab w:val="center" w:pos="9360"/>
        </w:tabs>
        <w:jc w:val="both"/>
        <w:rPr>
          <w:rFonts w:cs="Arial"/>
          <w:color w:val="0D0D0D" w:themeColor="text1" w:themeTint="F2"/>
          <w:sz w:val="22"/>
          <w:szCs w:val="22"/>
        </w:rPr>
      </w:pPr>
      <w:r w:rsidRPr="00A75E24">
        <w:rPr>
          <w:rFonts w:cs="Arial"/>
          <w:b/>
          <w:color w:val="0D0D0D" w:themeColor="text1" w:themeTint="F2"/>
          <w:sz w:val="22"/>
          <w:szCs w:val="22"/>
        </w:rPr>
        <w:t>On Balance Sheet</w:t>
      </w:r>
      <w:r w:rsidRPr="00A75E24">
        <w:rPr>
          <w:rFonts w:cs="Arial"/>
          <w:color w:val="0D0D0D" w:themeColor="text1" w:themeTint="F2"/>
          <w:sz w:val="22"/>
          <w:szCs w:val="22"/>
        </w:rPr>
        <w:tab/>
      </w:r>
      <w:r w:rsidRPr="00A75E24">
        <w:rPr>
          <w:rFonts w:cs="Arial"/>
          <w:b/>
          <w:color w:val="0D0D0D" w:themeColor="text1" w:themeTint="F2"/>
          <w:sz w:val="22"/>
          <w:szCs w:val="22"/>
        </w:rPr>
        <w:t>Fixed</w:t>
      </w:r>
      <w:r w:rsidRPr="00A75E24">
        <w:rPr>
          <w:rFonts w:cs="Arial"/>
          <w:b/>
          <w:color w:val="0D0D0D" w:themeColor="text1" w:themeTint="F2"/>
          <w:sz w:val="22"/>
          <w:szCs w:val="22"/>
        </w:rPr>
        <w:tab/>
        <w:t xml:space="preserve">Variable </w:t>
      </w:r>
      <w:r w:rsidRPr="00A75E24">
        <w:rPr>
          <w:rFonts w:cs="Arial"/>
          <w:b/>
          <w:color w:val="0D0D0D" w:themeColor="text1" w:themeTint="F2"/>
          <w:sz w:val="22"/>
          <w:szCs w:val="22"/>
        </w:rPr>
        <w:tab/>
      </w:r>
      <w:r w:rsidRPr="00A75E24">
        <w:rPr>
          <w:rFonts w:cs="Arial"/>
          <w:b/>
          <w:color w:val="0D0D0D" w:themeColor="text1" w:themeTint="F2"/>
          <w:sz w:val="22"/>
          <w:szCs w:val="22"/>
        </w:rPr>
        <w:tab/>
      </w:r>
    </w:p>
    <w:p w14:paraId="2BE32DF1" w14:textId="77777777" w:rsidR="00CD5231" w:rsidRPr="00A75E24" w:rsidRDefault="00CD5231" w:rsidP="00CD5231">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PWLB</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45663EC8" w14:textId="77777777" w:rsidR="00CD5231" w:rsidRPr="00A75E24" w:rsidRDefault="00CD5231" w:rsidP="00CD5231">
      <w:pPr>
        <w:tabs>
          <w:tab w:val="right" w:pos="6480"/>
          <w:tab w:val="right" w:pos="7920"/>
        </w:tabs>
        <w:spacing w:before="15" w:after="15"/>
        <w:jc w:val="both"/>
        <w:rPr>
          <w:rFonts w:cs="Arial"/>
          <w:color w:val="0D0D0D" w:themeColor="text1" w:themeTint="F2"/>
          <w:sz w:val="22"/>
          <w:szCs w:val="22"/>
        </w:rPr>
      </w:pPr>
      <w:r>
        <w:rPr>
          <w:rFonts w:cs="Arial"/>
          <w:color w:val="0D0D0D" w:themeColor="text1" w:themeTint="F2"/>
          <w:sz w:val="22"/>
          <w:szCs w:val="22"/>
        </w:rPr>
        <w:t xml:space="preserve">Municipal bond agency </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7E835C63" w14:textId="77777777" w:rsidR="00CD5231" w:rsidRPr="00A75E24" w:rsidRDefault="00CD5231" w:rsidP="00CD5231">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Local authorities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107C4B16" w14:textId="77777777" w:rsidR="00CD5231" w:rsidRDefault="00CD5231" w:rsidP="00CD5231">
      <w:pPr>
        <w:tabs>
          <w:tab w:val="right" w:pos="6480"/>
          <w:tab w:val="right" w:pos="7920"/>
        </w:tabs>
        <w:spacing w:before="15" w:after="15"/>
        <w:jc w:val="both"/>
        <w:rPr>
          <w:rFonts w:cs="Arial"/>
          <w:color w:val="0D0D0D" w:themeColor="text1" w:themeTint="F2"/>
          <w:sz w:val="22"/>
          <w:szCs w:val="22"/>
        </w:rPr>
      </w:pPr>
      <w:r>
        <w:rPr>
          <w:rFonts w:cs="Arial"/>
          <w:color w:val="0D0D0D" w:themeColor="text1" w:themeTint="F2"/>
          <w:sz w:val="22"/>
          <w:szCs w:val="22"/>
        </w:rPr>
        <w:t>Banks</w:t>
      </w:r>
      <w:r>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0B594E0E" w14:textId="77777777" w:rsidR="00CD5231" w:rsidRPr="00A75E24" w:rsidRDefault="00CD5231" w:rsidP="00CD5231">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Pension funds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7C14385D" w14:textId="77777777" w:rsidR="00CD5231" w:rsidRDefault="00CD5231" w:rsidP="00CD5231">
      <w:pPr>
        <w:tabs>
          <w:tab w:val="right" w:pos="6480"/>
          <w:tab w:val="right" w:pos="7920"/>
        </w:tabs>
        <w:spacing w:before="15" w:after="15"/>
        <w:jc w:val="both"/>
        <w:rPr>
          <w:rFonts w:cs="Arial"/>
          <w:color w:val="0D0D0D" w:themeColor="text1" w:themeTint="F2"/>
          <w:sz w:val="22"/>
          <w:szCs w:val="22"/>
        </w:rPr>
      </w:pPr>
      <w:r>
        <w:rPr>
          <w:rFonts w:cs="Arial"/>
          <w:color w:val="0D0D0D" w:themeColor="text1" w:themeTint="F2"/>
          <w:sz w:val="22"/>
          <w:szCs w:val="22"/>
        </w:rPr>
        <w:t>Insurance companies</w:t>
      </w:r>
      <w:r>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2EC33A5A" w14:textId="77777777" w:rsidR="00CD5231" w:rsidRPr="00A75E24" w:rsidRDefault="00CD5231" w:rsidP="00CD5231">
      <w:pPr>
        <w:tabs>
          <w:tab w:val="right" w:pos="6480"/>
          <w:tab w:val="right" w:pos="7920"/>
        </w:tabs>
        <w:spacing w:before="15" w:after="15"/>
        <w:jc w:val="both"/>
        <w:rPr>
          <w:rFonts w:cs="Arial"/>
          <w:color w:val="0D0D0D" w:themeColor="text1" w:themeTint="F2"/>
          <w:sz w:val="22"/>
          <w:szCs w:val="22"/>
        </w:rPr>
      </w:pPr>
    </w:p>
    <w:p w14:paraId="12A25E33" w14:textId="77777777" w:rsidR="00CD5231" w:rsidRPr="00A75E24" w:rsidRDefault="00CD5231" w:rsidP="00CD5231">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Market (long-term)</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7A047349" w14:textId="77777777" w:rsidR="00CD5231" w:rsidRPr="00A75E24" w:rsidRDefault="00CD5231" w:rsidP="00CD5231">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Market (temporary)</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17C7B088" w14:textId="77777777" w:rsidR="00CD5231" w:rsidRPr="00A75E24" w:rsidRDefault="00CD5231" w:rsidP="00CD5231">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Market (LOBOs)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62CC125E" w14:textId="77777777" w:rsidR="00CD5231" w:rsidRPr="00A75E24" w:rsidRDefault="00CD5231" w:rsidP="00CD5231">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Stock issues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49E98C7F" w14:textId="77777777" w:rsidR="00CD5231" w:rsidRPr="00A75E24" w:rsidRDefault="00CD5231" w:rsidP="00CD5231">
      <w:pPr>
        <w:tabs>
          <w:tab w:val="right" w:pos="6480"/>
          <w:tab w:val="right" w:pos="7920"/>
        </w:tabs>
        <w:spacing w:before="15" w:after="15"/>
        <w:jc w:val="both"/>
        <w:rPr>
          <w:rFonts w:cs="Arial"/>
          <w:color w:val="0D0D0D" w:themeColor="text1" w:themeTint="F2"/>
          <w:sz w:val="22"/>
          <w:szCs w:val="22"/>
        </w:rPr>
      </w:pPr>
    </w:p>
    <w:p w14:paraId="1FBFB0A4" w14:textId="77777777" w:rsidR="00CD5231" w:rsidRPr="00A75E24" w:rsidRDefault="00CD5231" w:rsidP="00CD5231">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Local temporary</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17E84884" w14:textId="77777777" w:rsidR="00CD5231" w:rsidRPr="00A75E24" w:rsidRDefault="00CD5231" w:rsidP="00CD5231">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Local Bonds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4532A7A0" w14:textId="77777777" w:rsidR="00CD5231" w:rsidRPr="00A75E24" w:rsidRDefault="00CD5231" w:rsidP="00CD5231">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 xml:space="preserve">Local authority bills                                                                 </w:t>
      </w:r>
      <w:r w:rsidRPr="00A75E24">
        <w:rPr>
          <w:rFonts w:cs="Arial"/>
          <w:color w:val="0D0D0D" w:themeColor="text1" w:themeTint="F2"/>
          <w:sz w:val="22"/>
          <w:szCs w:val="22"/>
        </w:rPr>
        <w:tab/>
        <w:t xml:space="preserve">  </w:t>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43557D64" w14:textId="77777777" w:rsidR="00CD5231" w:rsidRPr="00A75E24" w:rsidRDefault="00CD5231" w:rsidP="00CD5231">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Overdraft</w:t>
      </w:r>
      <w:r w:rsidRPr="00A75E24">
        <w:rPr>
          <w:rFonts w:cs="Arial"/>
          <w:color w:val="0D0D0D" w:themeColor="text1" w:themeTint="F2"/>
          <w:sz w:val="22"/>
          <w:szCs w:val="22"/>
        </w:rPr>
        <w:tab/>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41B83E1E" w14:textId="77777777" w:rsidR="00CD5231" w:rsidRPr="00A75E24" w:rsidRDefault="00CD5231" w:rsidP="00CD5231">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Negotiable Bonds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5433E81A" w14:textId="77777777" w:rsidR="00CD5231" w:rsidRPr="00A75E24" w:rsidRDefault="00CD5231" w:rsidP="00CD5231">
      <w:pPr>
        <w:tabs>
          <w:tab w:val="right" w:pos="6480"/>
          <w:tab w:val="right" w:pos="7920"/>
        </w:tabs>
        <w:spacing w:before="15" w:after="15"/>
        <w:jc w:val="both"/>
        <w:rPr>
          <w:rFonts w:cs="Arial"/>
          <w:color w:val="0D0D0D" w:themeColor="text1" w:themeTint="F2"/>
          <w:sz w:val="22"/>
          <w:szCs w:val="22"/>
        </w:rPr>
      </w:pPr>
    </w:p>
    <w:p w14:paraId="665C1A2A" w14:textId="77777777" w:rsidR="00CD5231" w:rsidRPr="00A75E24" w:rsidRDefault="00CD5231" w:rsidP="00CD5231">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Internal (capital receipts &amp; revenue balances)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7664AC99" w14:textId="77777777" w:rsidR="00CD5231" w:rsidRPr="00A75E24" w:rsidRDefault="00CD5231" w:rsidP="00CD5231">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Commercial Paper</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0F3E66A4" w14:textId="77777777" w:rsidR="00CD5231" w:rsidRPr="00A75E24" w:rsidRDefault="00CD5231" w:rsidP="00CD5231">
      <w:pPr>
        <w:tabs>
          <w:tab w:val="right" w:pos="6480"/>
          <w:tab w:val="right" w:pos="7920"/>
        </w:tabs>
        <w:spacing w:before="15" w:after="15"/>
        <w:jc w:val="both"/>
        <w:rPr>
          <w:rFonts w:cs="Arial"/>
          <w:b/>
          <w:color w:val="0D0D0D" w:themeColor="text1" w:themeTint="F2"/>
          <w:sz w:val="22"/>
          <w:szCs w:val="22"/>
        </w:rPr>
      </w:pPr>
      <w:r w:rsidRPr="00A75E24">
        <w:rPr>
          <w:rFonts w:cs="Arial"/>
          <w:color w:val="0D0D0D" w:themeColor="text1" w:themeTint="F2"/>
          <w:sz w:val="22"/>
          <w:szCs w:val="22"/>
        </w:rPr>
        <w:t>Medium Term Notes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b/>
          <w:color w:val="0D0D0D" w:themeColor="text1" w:themeTint="F2"/>
          <w:sz w:val="22"/>
          <w:szCs w:val="22"/>
        </w:rPr>
        <w:tab/>
      </w:r>
    </w:p>
    <w:p w14:paraId="67F45B32" w14:textId="77777777" w:rsidR="00CD5231" w:rsidRPr="00A75E24" w:rsidRDefault="00CD5231" w:rsidP="00CD5231">
      <w:pPr>
        <w:tabs>
          <w:tab w:val="right" w:pos="6480"/>
          <w:tab w:val="right" w:pos="7920"/>
        </w:tabs>
        <w:spacing w:before="15" w:after="15"/>
        <w:jc w:val="both"/>
        <w:rPr>
          <w:rFonts w:cs="Arial"/>
          <w:color w:val="0D0D0D" w:themeColor="text1" w:themeTint="F2"/>
          <w:sz w:val="22"/>
          <w:szCs w:val="22"/>
        </w:rPr>
      </w:pPr>
      <w:r w:rsidRPr="00A75E24">
        <w:rPr>
          <w:rFonts w:cs="Arial"/>
          <w:color w:val="0D0D0D" w:themeColor="text1" w:themeTint="F2"/>
          <w:sz w:val="22"/>
          <w:szCs w:val="22"/>
        </w:rPr>
        <w:t>Finance leases</w:t>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r w:rsidRPr="00A75E24">
        <w:rPr>
          <w:rFonts w:cs="Arial"/>
          <w:color w:val="0D0D0D" w:themeColor="text1" w:themeTint="F2"/>
          <w:sz w:val="22"/>
          <w:szCs w:val="22"/>
        </w:rPr>
        <w:tab/>
      </w:r>
      <w:r w:rsidRPr="00A75E24">
        <w:rPr>
          <w:rFonts w:cs="Arial"/>
          <w:color w:val="0D0D0D" w:themeColor="text1" w:themeTint="F2"/>
          <w:sz w:val="22"/>
          <w:szCs w:val="22"/>
        </w:rPr>
        <w:fldChar w:fldCharType="begin"/>
      </w:r>
      <w:r w:rsidRPr="00A75E24">
        <w:rPr>
          <w:rFonts w:cs="Arial"/>
          <w:color w:val="0D0D0D" w:themeColor="text1" w:themeTint="F2"/>
          <w:sz w:val="22"/>
          <w:szCs w:val="22"/>
        </w:rPr>
        <w:instrText>SYMBOL 183 \f "Symbol" \s 18 \h</w:instrText>
      </w:r>
      <w:r w:rsidRPr="00A75E24">
        <w:rPr>
          <w:rFonts w:cs="Arial"/>
          <w:color w:val="0D0D0D" w:themeColor="text1" w:themeTint="F2"/>
          <w:sz w:val="22"/>
          <w:szCs w:val="22"/>
        </w:rPr>
        <w:fldChar w:fldCharType="end"/>
      </w:r>
    </w:p>
    <w:p w14:paraId="6EA4DD9A" w14:textId="4FEDBC72" w:rsidR="00F53609" w:rsidRPr="00F53609" w:rsidRDefault="00F53609" w:rsidP="00CD5231">
      <w:pPr>
        <w:pStyle w:val="subhead"/>
        <w:numPr>
          <w:ilvl w:val="0"/>
          <w:numId w:val="0"/>
        </w:numPr>
        <w:rPr>
          <w:noProof w:val="0"/>
          <w:sz w:val="32"/>
          <w:szCs w:val="32"/>
        </w:rPr>
      </w:pPr>
      <w:r w:rsidRPr="00887A59">
        <w:rPr>
          <w:noProof w:val="0"/>
          <w:sz w:val="28"/>
          <w:szCs w:val="28"/>
        </w:rPr>
        <w:t>4</w:t>
      </w:r>
      <w:r w:rsidRPr="00F53609">
        <w:rPr>
          <w:noProof w:val="0"/>
          <w:sz w:val="32"/>
          <w:szCs w:val="32"/>
        </w:rPr>
        <w:t>.</w:t>
      </w:r>
      <w:r>
        <w:rPr>
          <w:noProof w:val="0"/>
          <w:sz w:val="32"/>
          <w:szCs w:val="32"/>
        </w:rPr>
        <w:tab/>
      </w:r>
      <w:r w:rsidRPr="00887A59">
        <w:rPr>
          <w:noProof w:val="0"/>
          <w:sz w:val="28"/>
          <w:szCs w:val="28"/>
        </w:rPr>
        <w:t>Annual Investment Strategy</w:t>
      </w:r>
    </w:p>
    <w:p w14:paraId="2AA39172" w14:textId="77777777" w:rsidR="00F53609" w:rsidRPr="00472DFF" w:rsidRDefault="00F53609" w:rsidP="00F53609">
      <w:pPr>
        <w:jc w:val="both"/>
        <w:rPr>
          <w:rFonts w:cs="Arial"/>
          <w:b/>
          <w:bCs/>
          <w:szCs w:val="24"/>
          <w:lang w:eastAsia="en-GB"/>
        </w:rPr>
      </w:pPr>
      <w:bookmarkStart w:id="9" w:name="_Toc60749556"/>
      <w:r w:rsidRPr="00472DFF">
        <w:rPr>
          <w:rFonts w:cs="Arial"/>
          <w:b/>
          <w:bCs/>
          <w:szCs w:val="24"/>
          <w:lang w:eastAsia="en-GB"/>
        </w:rPr>
        <w:t>Investment policy</w:t>
      </w:r>
      <w:bookmarkEnd w:id="9"/>
      <w:r w:rsidRPr="00472DFF">
        <w:rPr>
          <w:rFonts w:cs="Arial"/>
          <w:b/>
          <w:bCs/>
          <w:szCs w:val="24"/>
          <w:lang w:eastAsia="en-GB"/>
        </w:rPr>
        <w:t xml:space="preserve"> </w:t>
      </w:r>
    </w:p>
    <w:p w14:paraId="1D52E577" w14:textId="77777777" w:rsidR="00F53609" w:rsidRDefault="00F53609" w:rsidP="004F56E4">
      <w:pPr>
        <w:jc w:val="both"/>
        <w:rPr>
          <w:rFonts w:cs="Arial"/>
          <w:b/>
          <w:bCs/>
          <w:szCs w:val="24"/>
          <w:lang w:eastAsia="en-GB"/>
        </w:rPr>
      </w:pPr>
    </w:p>
    <w:p w14:paraId="1039B836" w14:textId="75E8C013" w:rsidR="00F53609" w:rsidRPr="00F53609" w:rsidRDefault="00F53609" w:rsidP="004E1FB4">
      <w:pPr>
        <w:pStyle w:val="ListParagraph"/>
        <w:numPr>
          <w:ilvl w:val="1"/>
          <w:numId w:val="13"/>
        </w:numPr>
        <w:ind w:left="709" w:hanging="709"/>
        <w:jc w:val="both"/>
        <w:rPr>
          <w:rFonts w:cs="Arial"/>
          <w:szCs w:val="24"/>
          <w:lang w:eastAsia="en-GB"/>
        </w:rPr>
      </w:pPr>
      <w:r w:rsidRPr="00F53609">
        <w:rPr>
          <w:rFonts w:cs="Arial"/>
          <w:szCs w:val="24"/>
          <w:lang w:eastAsia="en-GB"/>
        </w:rPr>
        <w:t>The Council’s investment policy has regard to the following: -</w:t>
      </w:r>
    </w:p>
    <w:p w14:paraId="115CA904" w14:textId="77777777" w:rsidR="00F53609" w:rsidRPr="00F53609" w:rsidRDefault="00F53609" w:rsidP="004E1FB4">
      <w:pPr>
        <w:pStyle w:val="ListParagraph"/>
        <w:numPr>
          <w:ilvl w:val="0"/>
          <w:numId w:val="15"/>
        </w:numPr>
        <w:jc w:val="both"/>
        <w:rPr>
          <w:rFonts w:cs="Arial"/>
          <w:i/>
          <w:iCs/>
        </w:rPr>
      </w:pPr>
      <w:r w:rsidRPr="00F53609">
        <w:rPr>
          <w:rFonts w:cs="Arial"/>
          <w:i/>
          <w:iCs/>
        </w:rPr>
        <w:t>MHCLG’s Guidance on Local Government Investments (“the Guidance”)</w:t>
      </w:r>
    </w:p>
    <w:p w14:paraId="2ACCB72D" w14:textId="77777777" w:rsidR="00F53609" w:rsidRPr="00F53609" w:rsidRDefault="00F53609" w:rsidP="004E1FB4">
      <w:pPr>
        <w:pStyle w:val="ListParagraph"/>
        <w:numPr>
          <w:ilvl w:val="0"/>
          <w:numId w:val="15"/>
        </w:numPr>
        <w:jc w:val="both"/>
        <w:rPr>
          <w:rFonts w:cs="Arial"/>
          <w:i/>
          <w:iCs/>
        </w:rPr>
      </w:pPr>
      <w:r w:rsidRPr="00F53609">
        <w:rPr>
          <w:rFonts w:cs="Arial"/>
          <w:i/>
          <w:iCs/>
        </w:rPr>
        <w:t xml:space="preserve">CIPFA Treasury Management in Public Services Code of Practice and Cross Sectoral Guidance Notes 2017 (“the Code”) </w:t>
      </w:r>
    </w:p>
    <w:p w14:paraId="0A9C0015" w14:textId="77777777" w:rsidR="00F53609" w:rsidRPr="00F53609" w:rsidRDefault="00F53609" w:rsidP="004E1FB4">
      <w:pPr>
        <w:pStyle w:val="ListParagraph"/>
        <w:numPr>
          <w:ilvl w:val="0"/>
          <w:numId w:val="15"/>
        </w:numPr>
        <w:jc w:val="both"/>
        <w:rPr>
          <w:rFonts w:cs="Arial"/>
          <w:i/>
          <w:iCs/>
        </w:rPr>
      </w:pPr>
      <w:r w:rsidRPr="00F53609">
        <w:rPr>
          <w:rFonts w:cs="Arial"/>
          <w:i/>
          <w:iCs/>
        </w:rPr>
        <w:lastRenderedPageBreak/>
        <w:t xml:space="preserve">CIPFA Treasury Management Guidance Notes 2018  </w:t>
      </w:r>
    </w:p>
    <w:p w14:paraId="1DBBEB17" w14:textId="77777777" w:rsidR="00F53609" w:rsidRDefault="00F53609" w:rsidP="00F53609">
      <w:pPr>
        <w:jc w:val="both"/>
        <w:rPr>
          <w:rFonts w:cs="Arial"/>
          <w:sz w:val="22"/>
          <w:szCs w:val="22"/>
        </w:rPr>
      </w:pPr>
    </w:p>
    <w:p w14:paraId="4D369371" w14:textId="77777777" w:rsidR="00F53609" w:rsidRPr="00F53609" w:rsidRDefault="00F53609" w:rsidP="004E1FB4">
      <w:pPr>
        <w:pStyle w:val="ListParagraph"/>
        <w:numPr>
          <w:ilvl w:val="1"/>
          <w:numId w:val="13"/>
        </w:numPr>
        <w:ind w:left="709" w:hanging="709"/>
        <w:jc w:val="both"/>
        <w:rPr>
          <w:rFonts w:cs="Arial"/>
          <w:szCs w:val="24"/>
          <w:lang w:eastAsia="en-GB"/>
        </w:rPr>
      </w:pPr>
      <w:r w:rsidRPr="00F53609">
        <w:rPr>
          <w:rFonts w:cs="Arial"/>
          <w:szCs w:val="24"/>
          <w:lang w:eastAsia="en-GB"/>
        </w:rPr>
        <w:t xml:space="preserve">The Council’s investment priorities will be security first, portfolio liquidity second and then yield, (return). </w:t>
      </w:r>
      <w:r w:rsidRPr="00F53609">
        <w:rPr>
          <w:rFonts w:cs="Arial"/>
          <w:szCs w:val="24"/>
          <w:lang w:eastAsia="en-GB"/>
        </w:rPr>
        <w:tab/>
        <w:t xml:space="preserve">The Council will aim to achieve the optimum return (yield) on its investments commensurate with proper levels of security and liquidity and with the Council’s risk appetite. </w:t>
      </w:r>
    </w:p>
    <w:p w14:paraId="41C337D5" w14:textId="77777777" w:rsidR="00F53609" w:rsidRDefault="00F53609" w:rsidP="00F53609">
      <w:pPr>
        <w:jc w:val="both"/>
        <w:rPr>
          <w:rFonts w:cs="Arial"/>
          <w:sz w:val="22"/>
          <w:szCs w:val="22"/>
        </w:rPr>
      </w:pPr>
    </w:p>
    <w:p w14:paraId="7941C1CA" w14:textId="77777777" w:rsidR="00F53609" w:rsidRPr="00F53609" w:rsidRDefault="00F53609" w:rsidP="004E1FB4">
      <w:pPr>
        <w:pStyle w:val="ListParagraph"/>
        <w:numPr>
          <w:ilvl w:val="1"/>
          <w:numId w:val="13"/>
        </w:numPr>
        <w:ind w:left="709" w:hanging="709"/>
        <w:jc w:val="both"/>
        <w:rPr>
          <w:rFonts w:cs="Arial"/>
          <w:szCs w:val="24"/>
          <w:lang w:eastAsia="en-GB"/>
        </w:rPr>
      </w:pPr>
      <w:r w:rsidRPr="00F53609">
        <w:rPr>
          <w:rFonts w:cs="Arial"/>
          <w:szCs w:val="24"/>
          <w:lang w:eastAsia="en-GB"/>
        </w:rPr>
        <w:t>The above guidance from the MHCLG and CIPFA places a high priority on the management of risk. This authority has adopted a prudent approach to managing risk and defines its risk appetite by the following means: -</w:t>
      </w:r>
    </w:p>
    <w:p w14:paraId="6AB4534C" w14:textId="77777777" w:rsidR="00F53609" w:rsidRPr="00803FAA" w:rsidRDefault="00F53609" w:rsidP="00F53609">
      <w:pPr>
        <w:jc w:val="both"/>
        <w:rPr>
          <w:rFonts w:cs="Arial"/>
          <w:sz w:val="22"/>
          <w:szCs w:val="22"/>
        </w:rPr>
      </w:pPr>
    </w:p>
    <w:p w14:paraId="22EC80A0" w14:textId="77F6E661" w:rsidR="00F53609" w:rsidRPr="00803FAA" w:rsidRDefault="00D961BF" w:rsidP="004E1FB4">
      <w:pPr>
        <w:pStyle w:val="ListParagraph"/>
        <w:numPr>
          <w:ilvl w:val="0"/>
          <w:numId w:val="14"/>
        </w:numPr>
        <w:ind w:left="993"/>
        <w:jc w:val="both"/>
        <w:rPr>
          <w:rFonts w:cs="Arial"/>
        </w:rPr>
      </w:pPr>
      <w:r>
        <w:rPr>
          <w:rFonts w:cs="Arial"/>
        </w:rPr>
        <w:t>Where relevant , m</w:t>
      </w:r>
      <w:r w:rsidR="00F53609" w:rsidRPr="00803FAA">
        <w:rPr>
          <w:rFonts w:cs="Arial"/>
        </w:rPr>
        <w:t xml:space="preserve">inimum acceptable </w:t>
      </w:r>
      <w:r w:rsidR="00F53609" w:rsidRPr="00803FAA">
        <w:rPr>
          <w:rFonts w:cs="Arial"/>
          <w:b/>
        </w:rPr>
        <w:t>credit criteria</w:t>
      </w:r>
      <w:r w:rsidR="00F53609" w:rsidRPr="00803FAA">
        <w:rPr>
          <w:rFonts w:cs="Arial"/>
        </w:rPr>
        <w:t xml:space="preserve"> are applied in order to generate a list of highly creditworthy counterparties.  This also enables diversification and thus avoidance of concentration risk. The key ratings used to monitor counterparties are the short term and long-term ratings.  </w:t>
      </w:r>
    </w:p>
    <w:p w14:paraId="660F30D2" w14:textId="77777777" w:rsidR="00F53609" w:rsidRPr="00803FAA" w:rsidRDefault="00F53609" w:rsidP="00F53609">
      <w:pPr>
        <w:pStyle w:val="ListParagraph"/>
        <w:ind w:left="709" w:hanging="283"/>
        <w:jc w:val="both"/>
        <w:rPr>
          <w:rFonts w:cs="Arial"/>
        </w:rPr>
      </w:pPr>
    </w:p>
    <w:p w14:paraId="6FD0D90E" w14:textId="77777777" w:rsidR="00F53609" w:rsidRPr="00803FAA" w:rsidRDefault="00F53609" w:rsidP="004E1FB4">
      <w:pPr>
        <w:pStyle w:val="ListParagraph"/>
        <w:numPr>
          <w:ilvl w:val="0"/>
          <w:numId w:val="14"/>
        </w:numPr>
        <w:ind w:left="993"/>
        <w:jc w:val="both"/>
        <w:rPr>
          <w:rFonts w:cs="Arial"/>
        </w:rPr>
      </w:pPr>
      <w:r w:rsidRPr="00F53609">
        <w:rPr>
          <w:rFonts w:cs="Arial"/>
          <w:b/>
          <w:bCs/>
        </w:rPr>
        <w:t>Other information:</w:t>
      </w:r>
      <w:r w:rsidRPr="00803FAA">
        <w:rPr>
          <w:rFonts w:cs="Arial"/>
        </w:rPr>
        <w:t xml:space="preserve"> ratings will not be the sole determinant of the quality of an institution; it is important to continually assess and monitor the financial sector on both a micro and macro basis and in relation to the economic and political environments in which institutions operate. The assessment will also take account of information that reflects the opinion of the markets. To achieve this consideration the Council will engage with its advisors to maintain a monitor on market pricing such as </w:t>
      </w:r>
      <w:r w:rsidRPr="00F53609">
        <w:rPr>
          <w:rFonts w:cs="Arial"/>
          <w:b/>
          <w:bCs/>
        </w:rPr>
        <w:t xml:space="preserve">“credit default swaps” </w:t>
      </w:r>
      <w:r w:rsidRPr="00803FAA">
        <w:rPr>
          <w:rFonts w:cs="Arial"/>
        </w:rPr>
        <w:t xml:space="preserve">and overlay that information on top of the credit ratings. </w:t>
      </w:r>
    </w:p>
    <w:p w14:paraId="3A23D616" w14:textId="77777777" w:rsidR="00F53609" w:rsidRPr="00803FAA" w:rsidRDefault="00F53609" w:rsidP="00F53609">
      <w:pPr>
        <w:pStyle w:val="ListParagraph"/>
        <w:ind w:left="709" w:hanging="283"/>
        <w:rPr>
          <w:rFonts w:cs="Arial"/>
        </w:rPr>
      </w:pPr>
    </w:p>
    <w:p w14:paraId="0BD8E855" w14:textId="77777777" w:rsidR="00F53609" w:rsidRPr="00987D38" w:rsidRDefault="00F53609" w:rsidP="004E1FB4">
      <w:pPr>
        <w:pStyle w:val="ListParagraph"/>
        <w:numPr>
          <w:ilvl w:val="0"/>
          <w:numId w:val="14"/>
        </w:numPr>
        <w:ind w:left="993"/>
        <w:jc w:val="both"/>
        <w:rPr>
          <w:rFonts w:cs="Arial"/>
        </w:rPr>
      </w:pPr>
      <w:r w:rsidRPr="00F53609">
        <w:rPr>
          <w:rFonts w:cs="Arial"/>
          <w:b/>
          <w:bCs/>
        </w:rPr>
        <w:t>Other information sources</w:t>
      </w:r>
      <w:r w:rsidRPr="00987D38">
        <w:rPr>
          <w:rFonts w:cs="Arial"/>
        </w:rPr>
        <w:t xml:space="preserve"> used will include the financial press, share price and other such information pertaining to the financial sector in order to establish the most robust scrutiny process on the suitability of potential investment counterparties.</w:t>
      </w:r>
    </w:p>
    <w:p w14:paraId="1B55AC4B" w14:textId="77777777" w:rsidR="00F53609" w:rsidRPr="00987D38" w:rsidRDefault="00F53609" w:rsidP="00F53609">
      <w:pPr>
        <w:pStyle w:val="ListParagraph"/>
        <w:ind w:left="709" w:hanging="283"/>
        <w:rPr>
          <w:rFonts w:cs="Arial"/>
        </w:rPr>
      </w:pPr>
    </w:p>
    <w:p w14:paraId="40BF818D" w14:textId="77777777" w:rsidR="00F53609" w:rsidRPr="00F53609" w:rsidRDefault="00F53609" w:rsidP="004E1FB4">
      <w:pPr>
        <w:pStyle w:val="ListParagraph"/>
        <w:numPr>
          <w:ilvl w:val="0"/>
          <w:numId w:val="14"/>
        </w:numPr>
        <w:ind w:left="993"/>
        <w:jc w:val="both"/>
        <w:rPr>
          <w:rFonts w:cs="Arial"/>
        </w:rPr>
      </w:pPr>
      <w:r w:rsidRPr="00987D38">
        <w:rPr>
          <w:rFonts w:cs="Arial"/>
        </w:rPr>
        <w:t xml:space="preserve">This authority has defined the list of </w:t>
      </w:r>
      <w:r w:rsidRPr="00F53609">
        <w:rPr>
          <w:rFonts w:cs="Arial"/>
          <w:b/>
          <w:bCs/>
        </w:rPr>
        <w:t>types of investment instruments</w:t>
      </w:r>
      <w:r w:rsidRPr="00987D38">
        <w:rPr>
          <w:rFonts w:cs="Arial"/>
        </w:rPr>
        <w:t xml:space="preserve"> that the treasury management team are authorised to use</w:t>
      </w:r>
      <w:r w:rsidRPr="00924888">
        <w:rPr>
          <w:rFonts w:cs="Arial"/>
        </w:rPr>
        <w:t>. There are two lists in appendix F under the categories of ‘specified’ and ‘non-specified’ investments</w:t>
      </w:r>
      <w:r w:rsidRPr="00F53609">
        <w:rPr>
          <w:rFonts w:cs="Arial"/>
        </w:rPr>
        <w:t>.</w:t>
      </w:r>
      <w:r w:rsidRPr="00886183">
        <w:rPr>
          <w:rFonts w:cs="Arial"/>
        </w:rPr>
        <w:t xml:space="preserve"> </w:t>
      </w:r>
    </w:p>
    <w:p w14:paraId="0DD9E2EE" w14:textId="77777777" w:rsidR="00F53609" w:rsidRPr="00886183" w:rsidRDefault="00F53609" w:rsidP="00F53609">
      <w:pPr>
        <w:pStyle w:val="ListParagraph"/>
        <w:rPr>
          <w:rFonts w:cs="Arial"/>
          <w:color w:val="0D0D0D" w:themeColor="text1" w:themeTint="F2"/>
        </w:rPr>
      </w:pPr>
    </w:p>
    <w:p w14:paraId="7AE37CBB" w14:textId="77777777" w:rsidR="00F53609" w:rsidRPr="00737650" w:rsidRDefault="00F53609" w:rsidP="004E1FB4">
      <w:pPr>
        <w:pStyle w:val="ListParagraph"/>
        <w:numPr>
          <w:ilvl w:val="1"/>
          <w:numId w:val="12"/>
        </w:numPr>
        <w:ind w:left="1080"/>
        <w:jc w:val="both"/>
        <w:rPr>
          <w:rFonts w:cs="Arial"/>
          <w:b/>
          <w:color w:val="0D0D0D" w:themeColor="text1" w:themeTint="F2"/>
        </w:rPr>
      </w:pPr>
      <w:r w:rsidRPr="00886183">
        <w:rPr>
          <w:rFonts w:cs="Arial"/>
          <w:b/>
          <w:color w:val="0D0D0D" w:themeColor="text1" w:themeTint="F2"/>
        </w:rPr>
        <w:t>Specified investments</w:t>
      </w:r>
      <w:r w:rsidRPr="00737650">
        <w:rPr>
          <w:rFonts w:cs="Arial"/>
          <w:b/>
          <w:color w:val="0D0D0D" w:themeColor="text1" w:themeTint="F2"/>
        </w:rPr>
        <w:t xml:space="preserve"> </w:t>
      </w:r>
      <w:r w:rsidRPr="00737650">
        <w:rPr>
          <w:rFonts w:cs="Arial"/>
          <w:bCs/>
          <w:color w:val="0D0D0D" w:themeColor="text1" w:themeTint="F2"/>
        </w:rPr>
        <w:t>are those with a high level of credit quality and subject to a maturity limit of one year</w:t>
      </w:r>
      <w:r w:rsidRPr="00737650">
        <w:rPr>
          <w:rFonts w:cs="Arial"/>
          <w:b/>
          <w:color w:val="0D0D0D" w:themeColor="text1" w:themeTint="F2"/>
        </w:rPr>
        <w:t xml:space="preserve"> </w:t>
      </w:r>
    </w:p>
    <w:p w14:paraId="0434FB96" w14:textId="77777777" w:rsidR="00F53609" w:rsidRPr="00093508" w:rsidRDefault="00F53609" w:rsidP="004E1FB4">
      <w:pPr>
        <w:pStyle w:val="ListParagraph"/>
        <w:numPr>
          <w:ilvl w:val="1"/>
          <w:numId w:val="12"/>
        </w:numPr>
        <w:ind w:left="1080"/>
        <w:jc w:val="both"/>
        <w:rPr>
          <w:rFonts w:cs="Arial"/>
          <w:i/>
          <w:color w:val="0D0D0D" w:themeColor="text1" w:themeTint="F2"/>
        </w:rPr>
      </w:pPr>
      <w:r w:rsidRPr="00224597">
        <w:rPr>
          <w:rFonts w:cs="Arial"/>
          <w:b/>
          <w:color w:val="0D0D0D" w:themeColor="text1" w:themeTint="F2"/>
        </w:rPr>
        <w:t>Non-specified investments</w:t>
      </w:r>
      <w:r w:rsidRPr="00224597">
        <w:rPr>
          <w:rFonts w:cs="Arial"/>
          <w:color w:val="0D0D0D" w:themeColor="text1" w:themeTint="F2"/>
        </w:rPr>
        <w:t xml:space="preserve"> are those with less high credit quality, may be for periods in excess of one year, and/or are more complex </w:t>
      </w:r>
      <w:r w:rsidRPr="00093508">
        <w:rPr>
          <w:rFonts w:cs="Arial"/>
          <w:color w:val="0D0D0D" w:themeColor="text1" w:themeTint="F2"/>
        </w:rPr>
        <w:t xml:space="preserve">instruments which require greater consideration by members and officers before being authorised for use. </w:t>
      </w:r>
    </w:p>
    <w:p w14:paraId="7FA46176" w14:textId="55F1151E" w:rsidR="00F53609" w:rsidRDefault="00F53609" w:rsidP="00F53609">
      <w:pPr>
        <w:pStyle w:val="ListParagraph"/>
        <w:ind w:left="284"/>
        <w:rPr>
          <w:rFonts w:cs="Arial"/>
          <w:color w:val="0D0D0D" w:themeColor="text1" w:themeTint="F2"/>
        </w:rPr>
      </w:pPr>
    </w:p>
    <w:p w14:paraId="6C628C0C" w14:textId="77777777" w:rsidR="00D961BF" w:rsidRDefault="00D961BF" w:rsidP="00D961BF">
      <w:pPr>
        <w:pStyle w:val="ListParagraph"/>
        <w:ind w:left="1080"/>
        <w:rPr>
          <w:rFonts w:cs="Arial"/>
          <w:color w:val="0D0D0D" w:themeColor="text1" w:themeTint="F2"/>
        </w:rPr>
      </w:pPr>
      <w:r>
        <w:rPr>
          <w:rFonts w:cs="Arial"/>
          <w:color w:val="0D0D0D" w:themeColor="text1" w:themeTint="F2"/>
        </w:rPr>
        <w:t>The Council acknowledges that both specified and non-specified investments may be subject to valuation changes, both positive and negative, prior to maturing. The Director of Finance will take all reasonable steps to ensure that day to day liquidity does not rely on the sale of such investments prior to maturity, and therefore that the Council is not exposed to realising any losses. Moreover, the Director will take measures to ensure that any potential unrealised gains or losses are proportionate to revenue budgets and reserves.</w:t>
      </w:r>
    </w:p>
    <w:p w14:paraId="1CC3FFBC" w14:textId="77777777" w:rsidR="00D961BF" w:rsidRPr="00093508" w:rsidRDefault="00D961BF" w:rsidP="00F53609">
      <w:pPr>
        <w:pStyle w:val="ListParagraph"/>
        <w:ind w:left="284"/>
        <w:rPr>
          <w:rFonts w:cs="Arial"/>
          <w:color w:val="0D0D0D" w:themeColor="text1" w:themeTint="F2"/>
        </w:rPr>
      </w:pPr>
    </w:p>
    <w:p w14:paraId="0DFC26F3" w14:textId="68EFD68D" w:rsidR="00F53609" w:rsidRPr="0081234A" w:rsidRDefault="00F53609" w:rsidP="0081234A">
      <w:pPr>
        <w:pStyle w:val="ListParagraph"/>
        <w:numPr>
          <w:ilvl w:val="1"/>
          <w:numId w:val="13"/>
        </w:numPr>
        <w:ind w:left="709" w:hanging="709"/>
        <w:jc w:val="both"/>
        <w:rPr>
          <w:rFonts w:cs="Arial"/>
          <w:szCs w:val="24"/>
          <w:lang w:eastAsia="en-GB"/>
        </w:rPr>
      </w:pPr>
      <w:r w:rsidRPr="0081234A">
        <w:rPr>
          <w:rFonts w:cs="Arial"/>
          <w:szCs w:val="24"/>
          <w:lang w:eastAsia="en-GB"/>
        </w:rPr>
        <w:t xml:space="preserve">However, this authority will also pursue </w:t>
      </w:r>
      <w:r w:rsidRPr="0081234A">
        <w:rPr>
          <w:rFonts w:cs="Arial"/>
          <w:b/>
          <w:bCs/>
          <w:szCs w:val="24"/>
          <w:lang w:eastAsia="en-GB"/>
        </w:rPr>
        <w:t>value for money</w:t>
      </w:r>
      <w:r w:rsidRPr="0081234A">
        <w:rPr>
          <w:rFonts w:cs="Arial"/>
          <w:szCs w:val="24"/>
          <w:lang w:eastAsia="en-GB"/>
        </w:rPr>
        <w:t xml:space="preserve"> in treasury management and will monitor the yield from investment income against appropriate benchmarks for investment performance.  Regular monitoring of investment performance will be carried out during the year.</w:t>
      </w:r>
    </w:p>
    <w:p w14:paraId="26F78186" w14:textId="37305255" w:rsidR="00F53609" w:rsidRPr="00F53609" w:rsidRDefault="00F53609" w:rsidP="00F53609">
      <w:pPr>
        <w:pStyle w:val="subhead"/>
        <w:numPr>
          <w:ilvl w:val="0"/>
          <w:numId w:val="0"/>
        </w:numPr>
        <w:ind w:left="360" w:hanging="360"/>
        <w:rPr>
          <w:noProof w:val="0"/>
          <w:sz w:val="24"/>
          <w:szCs w:val="24"/>
        </w:rPr>
      </w:pPr>
      <w:bookmarkStart w:id="10" w:name="_Toc60749557"/>
      <w:r w:rsidRPr="00F53609">
        <w:rPr>
          <w:noProof w:val="0"/>
          <w:sz w:val="24"/>
          <w:szCs w:val="24"/>
        </w:rPr>
        <w:t>C</w:t>
      </w:r>
      <w:r w:rsidR="00BF7865">
        <w:rPr>
          <w:noProof w:val="0"/>
          <w:sz w:val="24"/>
          <w:szCs w:val="24"/>
        </w:rPr>
        <w:t>r</w:t>
      </w:r>
      <w:r w:rsidRPr="00F53609">
        <w:rPr>
          <w:noProof w:val="0"/>
          <w:sz w:val="24"/>
          <w:szCs w:val="24"/>
        </w:rPr>
        <w:t>editworthiness policy</w:t>
      </w:r>
      <w:bookmarkEnd w:id="10"/>
    </w:p>
    <w:p w14:paraId="17B9A0C1" w14:textId="77777777" w:rsidR="00F53609" w:rsidRPr="00F53609" w:rsidRDefault="00F53609" w:rsidP="004E1FB4">
      <w:pPr>
        <w:pStyle w:val="ListParagraph"/>
        <w:numPr>
          <w:ilvl w:val="1"/>
          <w:numId w:val="13"/>
        </w:numPr>
        <w:ind w:left="709" w:hanging="709"/>
        <w:jc w:val="both"/>
        <w:rPr>
          <w:rFonts w:cs="Arial"/>
          <w:szCs w:val="24"/>
          <w:lang w:eastAsia="en-GB"/>
        </w:rPr>
      </w:pPr>
      <w:r w:rsidRPr="00F53609">
        <w:rPr>
          <w:rFonts w:cs="Arial"/>
          <w:szCs w:val="24"/>
          <w:lang w:eastAsia="en-GB"/>
        </w:rPr>
        <w:t xml:space="preserve">The primary principle governing the Council’s investment criteria is the security of its investments, although the return on the investment is also a key consideration. After this main principle, the Council will ensure that: </w:t>
      </w:r>
    </w:p>
    <w:p w14:paraId="4758BD44" w14:textId="45CA0EB6" w:rsidR="00F53609" w:rsidRPr="00F53609" w:rsidRDefault="00F53609" w:rsidP="00F53609">
      <w:pPr>
        <w:pStyle w:val="ListParagraph"/>
        <w:ind w:left="709"/>
        <w:jc w:val="both"/>
        <w:rPr>
          <w:rFonts w:cs="Arial"/>
          <w:szCs w:val="24"/>
          <w:lang w:eastAsia="en-GB"/>
        </w:rPr>
      </w:pPr>
    </w:p>
    <w:p w14:paraId="3261B98A" w14:textId="25A44A11" w:rsidR="00F53609" w:rsidRPr="00F53609" w:rsidRDefault="00F53609" w:rsidP="004E1FB4">
      <w:pPr>
        <w:pStyle w:val="ListParagraph"/>
        <w:numPr>
          <w:ilvl w:val="1"/>
          <w:numId w:val="13"/>
        </w:numPr>
        <w:ind w:left="709" w:hanging="709"/>
        <w:jc w:val="both"/>
        <w:rPr>
          <w:rFonts w:cs="Arial"/>
          <w:szCs w:val="24"/>
          <w:lang w:eastAsia="en-GB"/>
        </w:rPr>
      </w:pPr>
      <w:r w:rsidRPr="00F53609">
        <w:rPr>
          <w:rFonts w:cs="Arial"/>
          <w:szCs w:val="24"/>
          <w:lang w:eastAsia="en-GB"/>
        </w:rPr>
        <w:t xml:space="preserve">It maintains a policy covering both the categories of investment types it will invest in, criteria for choosing investment counterparties with adequate security, and monitoring their security. </w:t>
      </w:r>
    </w:p>
    <w:p w14:paraId="6A17A2D2" w14:textId="73A33415" w:rsidR="00F53609" w:rsidRPr="00F53609" w:rsidRDefault="00F53609" w:rsidP="00F53609">
      <w:pPr>
        <w:pStyle w:val="ListParagraph"/>
        <w:ind w:left="709"/>
        <w:jc w:val="both"/>
        <w:rPr>
          <w:rFonts w:cs="Arial"/>
          <w:szCs w:val="24"/>
          <w:lang w:eastAsia="en-GB"/>
        </w:rPr>
      </w:pPr>
    </w:p>
    <w:p w14:paraId="27CE3B44" w14:textId="3EE39CE9" w:rsidR="00F53609" w:rsidRPr="00F53609" w:rsidRDefault="00F53609" w:rsidP="004E1FB4">
      <w:pPr>
        <w:pStyle w:val="ListParagraph"/>
        <w:numPr>
          <w:ilvl w:val="1"/>
          <w:numId w:val="13"/>
        </w:numPr>
        <w:ind w:left="709" w:hanging="709"/>
        <w:jc w:val="both"/>
        <w:rPr>
          <w:rFonts w:cs="Arial"/>
          <w:szCs w:val="24"/>
          <w:lang w:eastAsia="en-GB"/>
        </w:rPr>
      </w:pPr>
      <w:r w:rsidRPr="00F53609">
        <w:rPr>
          <w:rFonts w:cs="Arial"/>
          <w:szCs w:val="24"/>
          <w:lang w:eastAsia="en-GB"/>
        </w:rPr>
        <w:t>It has sufficient liquidity in its investments. For this purpose it will set out procedures for determining the maximum periods for which funds may prudently be committed. These procedures also apply to the Council’s prudential indicators covering the maximum principal sums invested. The Director of Finance will maintain a counterparty list in compliance with the criteria</w:t>
      </w:r>
      <w:r w:rsidR="002209D3">
        <w:rPr>
          <w:rFonts w:cs="Arial"/>
          <w:szCs w:val="24"/>
          <w:lang w:eastAsia="en-GB"/>
        </w:rPr>
        <w:t xml:space="preserve"> detailed in Appendix F</w:t>
      </w:r>
      <w:r w:rsidRPr="00F53609">
        <w:rPr>
          <w:rFonts w:cs="Arial"/>
          <w:szCs w:val="24"/>
          <w:lang w:eastAsia="en-GB"/>
        </w:rPr>
        <w:t xml:space="preserve"> and will revise the criteria</w:t>
      </w:r>
      <w:r w:rsidR="002209D3">
        <w:rPr>
          <w:rFonts w:cs="Arial"/>
          <w:szCs w:val="24"/>
          <w:lang w:eastAsia="en-GB"/>
        </w:rPr>
        <w:t xml:space="preserve"> and </w:t>
      </w:r>
      <w:r w:rsidRPr="00F53609">
        <w:rPr>
          <w:rFonts w:cs="Arial"/>
          <w:szCs w:val="24"/>
          <w:lang w:eastAsia="en-GB"/>
        </w:rPr>
        <w:t xml:space="preserve">submit </w:t>
      </w:r>
      <w:r w:rsidR="002209D3">
        <w:rPr>
          <w:rFonts w:cs="Arial"/>
          <w:szCs w:val="24"/>
          <w:lang w:eastAsia="en-GB"/>
        </w:rPr>
        <w:t>any changes</w:t>
      </w:r>
      <w:r w:rsidRPr="00F53609">
        <w:rPr>
          <w:rFonts w:cs="Arial"/>
          <w:szCs w:val="24"/>
          <w:lang w:eastAsia="en-GB"/>
        </w:rPr>
        <w:t xml:space="preserve"> to Council for approval as necessary. These criteria are separate to those which determine which types of investment instrument are either specified or non-specified as they provide an overall pool of counterparties considered high quality which the Council may use, rather than defining what types of investment instruments are to be used. </w:t>
      </w:r>
    </w:p>
    <w:p w14:paraId="2DC4658A" w14:textId="5711ECE8" w:rsidR="00F53609" w:rsidRPr="00F53609" w:rsidRDefault="00F53609" w:rsidP="00F53609">
      <w:pPr>
        <w:pStyle w:val="ListParagraph"/>
        <w:ind w:left="709"/>
        <w:jc w:val="both"/>
        <w:rPr>
          <w:rFonts w:cs="Arial"/>
          <w:szCs w:val="24"/>
          <w:lang w:eastAsia="en-GB"/>
        </w:rPr>
      </w:pPr>
    </w:p>
    <w:p w14:paraId="4CD715F8" w14:textId="7CC7012E" w:rsidR="00D961BF" w:rsidRPr="0081234A" w:rsidRDefault="00D961BF" w:rsidP="0081234A">
      <w:pPr>
        <w:pStyle w:val="ListParagraph"/>
        <w:numPr>
          <w:ilvl w:val="1"/>
          <w:numId w:val="13"/>
        </w:numPr>
        <w:ind w:left="709" w:hanging="709"/>
        <w:jc w:val="both"/>
        <w:rPr>
          <w:rFonts w:cs="Arial"/>
          <w:szCs w:val="24"/>
          <w:lang w:eastAsia="en-GB"/>
        </w:rPr>
      </w:pPr>
      <w:r w:rsidRPr="0081234A">
        <w:rPr>
          <w:rFonts w:cs="Arial"/>
          <w:szCs w:val="24"/>
          <w:lang w:eastAsia="en-GB"/>
        </w:rPr>
        <w:t>Where more than one rating is available the lowest common denominator will be used, unless in the opinion of the Director of Finance, or a delegated manager authorised under the Financial Services and Markets Act 2000 (FSMA), there is an overriding reason to favour or disregard a particular agency’s view.</w:t>
      </w:r>
    </w:p>
    <w:p w14:paraId="46EB52DF" w14:textId="77777777" w:rsidR="00D961BF" w:rsidRPr="00D961BF" w:rsidRDefault="00D961BF" w:rsidP="00D961BF">
      <w:pPr>
        <w:pStyle w:val="ListParagraph"/>
        <w:ind w:left="709"/>
        <w:jc w:val="both"/>
        <w:rPr>
          <w:rFonts w:cs="Arial"/>
          <w:szCs w:val="24"/>
          <w:lang w:eastAsia="en-GB"/>
        </w:rPr>
      </w:pPr>
    </w:p>
    <w:p w14:paraId="7AF18D2C" w14:textId="07C00573" w:rsidR="00F53609" w:rsidRPr="00F53609" w:rsidRDefault="00F53609" w:rsidP="004E1FB4">
      <w:pPr>
        <w:pStyle w:val="ListParagraph"/>
        <w:numPr>
          <w:ilvl w:val="1"/>
          <w:numId w:val="13"/>
        </w:numPr>
        <w:ind w:left="709" w:hanging="709"/>
        <w:jc w:val="both"/>
        <w:rPr>
          <w:rFonts w:cs="Arial"/>
          <w:szCs w:val="24"/>
          <w:lang w:eastAsia="en-GB"/>
        </w:rPr>
      </w:pPr>
      <w:r w:rsidRPr="00F53609">
        <w:rPr>
          <w:rFonts w:cs="Arial"/>
          <w:szCs w:val="24"/>
          <w:lang w:eastAsia="en-GB"/>
        </w:rPr>
        <w:t>Credit rating information is supplied by the Treasury Management Adviser on all active counterparties that comply with the</w:t>
      </w:r>
      <w:r w:rsidR="002209D3">
        <w:rPr>
          <w:rFonts w:cs="Arial"/>
          <w:szCs w:val="24"/>
          <w:lang w:eastAsia="en-GB"/>
        </w:rPr>
        <w:t xml:space="preserve"> prescribed</w:t>
      </w:r>
      <w:r w:rsidRPr="00F53609">
        <w:rPr>
          <w:rFonts w:cs="Arial"/>
          <w:szCs w:val="24"/>
          <w:lang w:eastAsia="en-GB"/>
        </w:rPr>
        <w:t xml:space="preserve"> criteria</w:t>
      </w:r>
      <w:r w:rsidR="002209D3">
        <w:rPr>
          <w:rFonts w:cs="Arial"/>
          <w:szCs w:val="24"/>
          <w:lang w:eastAsia="en-GB"/>
        </w:rPr>
        <w:t xml:space="preserve"> detailed in Appendix F</w:t>
      </w:r>
      <w:r w:rsidRPr="00F53609">
        <w:rPr>
          <w:rFonts w:cs="Arial"/>
          <w:szCs w:val="24"/>
          <w:lang w:eastAsia="en-GB"/>
        </w:rPr>
        <w:t xml:space="preserve">. Any counterparty failing to meet the criteria would be omitted from the counterparty list. Any rating changes, rating watches (notification of a likely change), rating outlooks (notification of a possible </w:t>
      </w:r>
      <w:r w:rsidR="0081234A" w:rsidRPr="00F53609">
        <w:rPr>
          <w:rFonts w:cs="Arial"/>
          <w:szCs w:val="24"/>
          <w:lang w:eastAsia="en-GB"/>
        </w:rPr>
        <w:t>longer-term</w:t>
      </w:r>
      <w:r w:rsidRPr="00F53609">
        <w:rPr>
          <w:rFonts w:cs="Arial"/>
          <w:szCs w:val="24"/>
          <w:lang w:eastAsia="en-GB"/>
        </w:rPr>
        <w:t xml:space="preserve"> change) are provided to officers almost immediately after they occur and this information is considered before dealing. For instance, a negative rating watch applying to counterparty at the minimum Council criteria will be suspended from use, with all others being reviewed in light of market conditions.  </w:t>
      </w:r>
    </w:p>
    <w:p w14:paraId="1FC1D6A9" w14:textId="3D02BC30" w:rsidR="00F53609" w:rsidRPr="00F53609" w:rsidRDefault="00F53609" w:rsidP="00F53609">
      <w:pPr>
        <w:pStyle w:val="ListParagraph"/>
        <w:ind w:left="709"/>
        <w:jc w:val="both"/>
        <w:rPr>
          <w:rFonts w:cs="Arial"/>
          <w:szCs w:val="24"/>
          <w:lang w:eastAsia="en-GB"/>
        </w:rPr>
      </w:pPr>
    </w:p>
    <w:p w14:paraId="6A54C6AB" w14:textId="77777777" w:rsidR="00F53609" w:rsidRPr="002209D3" w:rsidRDefault="00F53609" w:rsidP="004E1FB4">
      <w:pPr>
        <w:pStyle w:val="ListParagraph"/>
        <w:numPr>
          <w:ilvl w:val="1"/>
          <w:numId w:val="13"/>
        </w:numPr>
        <w:ind w:left="709" w:hanging="709"/>
        <w:jc w:val="both"/>
        <w:rPr>
          <w:rFonts w:cs="Arial"/>
          <w:szCs w:val="24"/>
          <w:lang w:eastAsia="en-GB"/>
        </w:rPr>
      </w:pPr>
      <w:r w:rsidRPr="002209D3">
        <w:rPr>
          <w:rFonts w:cs="Arial"/>
          <w:szCs w:val="24"/>
          <w:lang w:eastAsia="en-GB"/>
        </w:rPr>
        <w:t>The Council’s criteria for an institution to become counterparty are detailed in Appendix F.</w:t>
      </w:r>
    </w:p>
    <w:p w14:paraId="19EA9C5E" w14:textId="203EBF4A" w:rsidR="00F53609" w:rsidRPr="00F53609" w:rsidRDefault="00F53609" w:rsidP="00F53609">
      <w:pPr>
        <w:pStyle w:val="subhead"/>
        <w:numPr>
          <w:ilvl w:val="0"/>
          <w:numId w:val="0"/>
        </w:numPr>
        <w:rPr>
          <w:noProof w:val="0"/>
          <w:color w:val="0D0D0D" w:themeColor="text1" w:themeTint="F2"/>
          <w:sz w:val="24"/>
          <w:szCs w:val="24"/>
        </w:rPr>
      </w:pPr>
      <w:bookmarkStart w:id="11" w:name="_Toc60749558"/>
      <w:r w:rsidRPr="00F53609">
        <w:rPr>
          <w:noProof w:val="0"/>
          <w:color w:val="0D0D0D" w:themeColor="text1" w:themeTint="F2"/>
          <w:sz w:val="24"/>
          <w:szCs w:val="24"/>
        </w:rPr>
        <w:t>Country Limits</w:t>
      </w:r>
      <w:bookmarkEnd w:id="11"/>
    </w:p>
    <w:p w14:paraId="6569B2CC" w14:textId="6DB6B8F4" w:rsidR="00F53609" w:rsidRDefault="00F53609" w:rsidP="004E1FB4">
      <w:pPr>
        <w:pStyle w:val="ListParagraph"/>
        <w:numPr>
          <w:ilvl w:val="1"/>
          <w:numId w:val="13"/>
        </w:numPr>
        <w:ind w:left="709" w:hanging="709"/>
        <w:jc w:val="both"/>
        <w:rPr>
          <w:rFonts w:cs="Arial"/>
          <w:szCs w:val="24"/>
          <w:lang w:eastAsia="en-GB"/>
        </w:rPr>
      </w:pPr>
      <w:r w:rsidRPr="002209D3">
        <w:rPr>
          <w:rFonts w:cs="Arial"/>
          <w:szCs w:val="24"/>
          <w:lang w:eastAsia="en-GB"/>
        </w:rPr>
        <w:t xml:space="preserve">The Council has determined that it will only use approved counterparties from the UK or from countries with a minimum sovereign credit rating of </w:t>
      </w:r>
      <w:r w:rsidRPr="002209D3">
        <w:rPr>
          <w:rFonts w:cs="Arial"/>
          <w:szCs w:val="24"/>
          <w:lang w:eastAsia="en-GB"/>
        </w:rPr>
        <w:lastRenderedPageBreak/>
        <w:t>AA-.</w:t>
      </w:r>
      <w:r w:rsidRPr="00F53609">
        <w:rPr>
          <w:rFonts w:cs="Arial"/>
          <w:szCs w:val="24"/>
          <w:lang w:eastAsia="en-GB"/>
        </w:rPr>
        <w:t xml:space="preserve">  The</w:t>
      </w:r>
      <w:r w:rsidR="002209D3">
        <w:rPr>
          <w:rFonts w:cs="Arial"/>
          <w:szCs w:val="24"/>
          <w:lang w:eastAsia="en-GB"/>
        </w:rPr>
        <w:t xml:space="preserve"> </w:t>
      </w:r>
      <w:r w:rsidRPr="00F53609">
        <w:rPr>
          <w:rFonts w:cs="Arial"/>
          <w:szCs w:val="24"/>
          <w:lang w:eastAsia="en-GB"/>
        </w:rPr>
        <w:t>current UK</w:t>
      </w:r>
      <w:r w:rsidR="002209D3">
        <w:rPr>
          <w:rFonts w:cs="Arial"/>
          <w:szCs w:val="24"/>
          <w:lang w:eastAsia="en-GB"/>
        </w:rPr>
        <w:t xml:space="preserve"> sovereign</w:t>
      </w:r>
      <w:r w:rsidRPr="00F53609">
        <w:rPr>
          <w:rFonts w:cs="Arial"/>
          <w:szCs w:val="24"/>
          <w:lang w:eastAsia="en-GB"/>
        </w:rPr>
        <w:t xml:space="preserve"> rating is AA</w:t>
      </w:r>
      <w:r w:rsidR="002209D3">
        <w:rPr>
          <w:rFonts w:cs="Arial"/>
          <w:szCs w:val="24"/>
          <w:lang w:eastAsia="en-GB"/>
        </w:rPr>
        <w:t>-</w:t>
      </w:r>
      <w:r w:rsidRPr="00F53609">
        <w:rPr>
          <w:rFonts w:cs="Arial"/>
          <w:szCs w:val="24"/>
          <w:lang w:eastAsia="en-GB"/>
        </w:rPr>
        <w:t xml:space="preserve"> or equivalent. This list will be added to, or deducted from, by officers should ratings change in accordance with this policy.  </w:t>
      </w:r>
    </w:p>
    <w:p w14:paraId="39C54523" w14:textId="2C3B61A4" w:rsidR="00F53609" w:rsidRPr="00F53609" w:rsidRDefault="00F53609" w:rsidP="00F53609">
      <w:pPr>
        <w:pStyle w:val="subhead"/>
        <w:numPr>
          <w:ilvl w:val="0"/>
          <w:numId w:val="0"/>
        </w:numPr>
        <w:rPr>
          <w:iCs/>
          <w:sz w:val="24"/>
          <w:szCs w:val="24"/>
        </w:rPr>
      </w:pPr>
      <w:bookmarkStart w:id="12" w:name="_Toc60749559"/>
      <w:r w:rsidRPr="00F53609">
        <w:rPr>
          <w:iCs/>
          <w:sz w:val="24"/>
          <w:szCs w:val="24"/>
        </w:rPr>
        <w:t>Investment Strategy</w:t>
      </w:r>
      <w:bookmarkEnd w:id="12"/>
    </w:p>
    <w:p w14:paraId="44155BE4" w14:textId="77777777" w:rsidR="00F53609" w:rsidRPr="00F53609" w:rsidRDefault="00F53609" w:rsidP="00F53609">
      <w:pPr>
        <w:pStyle w:val="subhead"/>
        <w:numPr>
          <w:ilvl w:val="0"/>
          <w:numId w:val="0"/>
        </w:numPr>
        <w:rPr>
          <w:iCs/>
          <w:sz w:val="24"/>
          <w:szCs w:val="24"/>
        </w:rPr>
      </w:pPr>
      <w:bookmarkStart w:id="13" w:name="_Toc60749560"/>
      <w:r w:rsidRPr="00F53609">
        <w:rPr>
          <w:iCs/>
          <w:sz w:val="24"/>
          <w:szCs w:val="24"/>
        </w:rPr>
        <w:t>In-house Funds</w:t>
      </w:r>
      <w:bookmarkEnd w:id="13"/>
    </w:p>
    <w:p w14:paraId="017AF045" w14:textId="77777777" w:rsidR="00F53609" w:rsidRPr="002209D3" w:rsidRDefault="00F53609" w:rsidP="004E1FB4">
      <w:pPr>
        <w:pStyle w:val="ListParagraph"/>
        <w:numPr>
          <w:ilvl w:val="1"/>
          <w:numId w:val="13"/>
        </w:numPr>
        <w:ind w:left="709" w:hanging="709"/>
        <w:jc w:val="both"/>
        <w:rPr>
          <w:rFonts w:cs="Arial"/>
          <w:szCs w:val="24"/>
          <w:lang w:eastAsia="en-GB"/>
        </w:rPr>
      </w:pPr>
      <w:r w:rsidRPr="002209D3">
        <w:rPr>
          <w:rFonts w:cs="Arial"/>
          <w:szCs w:val="24"/>
          <w:lang w:eastAsia="en-GB"/>
        </w:rPr>
        <w:t xml:space="preserve">The Council’s funds are mainly cash derived primarily from the General Fund and HRA. Balances are also held to support capital expenditure. Investments are made with reference to the core balance and cash flow requirements and the outlook for short-term interest rates (i.e. rates for investments up to 12 months). </w:t>
      </w:r>
    </w:p>
    <w:p w14:paraId="646045EE" w14:textId="77777777" w:rsidR="00F53609" w:rsidRPr="00F53609" w:rsidRDefault="00F53609" w:rsidP="00F53609">
      <w:pPr>
        <w:pStyle w:val="ListParagraph"/>
        <w:ind w:left="709"/>
        <w:jc w:val="both"/>
        <w:rPr>
          <w:rFonts w:cs="Arial"/>
          <w:szCs w:val="24"/>
          <w:highlight w:val="yellow"/>
          <w:lang w:eastAsia="en-GB"/>
        </w:rPr>
      </w:pPr>
    </w:p>
    <w:p w14:paraId="5C67A483" w14:textId="77777777" w:rsidR="00F53609" w:rsidRPr="00014D60" w:rsidRDefault="00F53609" w:rsidP="004E1FB4">
      <w:pPr>
        <w:pStyle w:val="ListParagraph"/>
        <w:numPr>
          <w:ilvl w:val="1"/>
          <w:numId w:val="13"/>
        </w:numPr>
        <w:ind w:left="709" w:hanging="709"/>
        <w:jc w:val="both"/>
        <w:rPr>
          <w:rFonts w:cs="Arial"/>
          <w:szCs w:val="24"/>
          <w:lang w:eastAsia="en-GB"/>
        </w:rPr>
      </w:pPr>
      <w:r w:rsidRPr="00014D60">
        <w:rPr>
          <w:rFonts w:cs="Arial"/>
          <w:szCs w:val="24"/>
          <w:lang w:eastAsia="en-GB"/>
        </w:rPr>
        <w:t>Since April 2011, pension fund cash balances have been held separately from those of the Council. However, a separate investment strategy has not been developed for the pension fund and all its cash is held on overnight call account with RBS and in separate money market funds.</w:t>
      </w:r>
    </w:p>
    <w:p w14:paraId="0F1F0DDC" w14:textId="77777777" w:rsidR="00F53609" w:rsidRPr="00F53609" w:rsidRDefault="00F53609" w:rsidP="00F53609">
      <w:pPr>
        <w:pStyle w:val="ListParagraph"/>
        <w:ind w:left="709"/>
        <w:jc w:val="both"/>
        <w:rPr>
          <w:rFonts w:cs="Arial"/>
          <w:szCs w:val="24"/>
          <w:highlight w:val="yellow"/>
          <w:lang w:eastAsia="en-GB"/>
        </w:rPr>
      </w:pPr>
    </w:p>
    <w:p w14:paraId="35636359" w14:textId="5E87935F" w:rsidR="00F53609" w:rsidRDefault="00F53609" w:rsidP="004E1FB4">
      <w:pPr>
        <w:pStyle w:val="ListParagraph"/>
        <w:numPr>
          <w:ilvl w:val="1"/>
          <w:numId w:val="13"/>
        </w:numPr>
        <w:ind w:left="709" w:hanging="709"/>
        <w:jc w:val="both"/>
        <w:rPr>
          <w:rFonts w:cs="Arial"/>
          <w:szCs w:val="24"/>
          <w:lang w:eastAsia="en-GB"/>
        </w:rPr>
      </w:pPr>
      <w:r w:rsidRPr="00644A6C">
        <w:rPr>
          <w:rFonts w:cs="Arial"/>
          <w:szCs w:val="24"/>
          <w:lang w:eastAsia="en-GB"/>
        </w:rPr>
        <w:t xml:space="preserve">As a result of the Council’s strategy, cash balances available to invest and the interest rates available the only counterparties actively in use during 2020/21 have been Lloyds, Royal Bank of Scotland Group and Handelsbanken in addition to 2 MMFs Deutsche and Fidelity. The investment portfolio has inevitably remained concentrated with RBS and Lloyds with </w:t>
      </w:r>
      <w:r w:rsidR="0043202E" w:rsidRPr="00644A6C">
        <w:rPr>
          <w:rFonts w:cs="Arial"/>
          <w:szCs w:val="24"/>
          <w:lang w:eastAsia="en-GB"/>
        </w:rPr>
        <w:t>90</w:t>
      </w:r>
      <w:r w:rsidRPr="00644A6C">
        <w:rPr>
          <w:rFonts w:cs="Arial"/>
          <w:szCs w:val="24"/>
          <w:lang w:eastAsia="en-GB"/>
        </w:rPr>
        <w:t>% of the total portfolio invested with them on 31st December 20</w:t>
      </w:r>
      <w:r w:rsidR="0043202E" w:rsidRPr="00644A6C">
        <w:rPr>
          <w:rFonts w:cs="Arial"/>
          <w:szCs w:val="24"/>
          <w:lang w:eastAsia="en-GB"/>
        </w:rPr>
        <w:t>20</w:t>
      </w:r>
      <w:r w:rsidRPr="00644A6C">
        <w:rPr>
          <w:rFonts w:cs="Arial"/>
          <w:szCs w:val="24"/>
          <w:lang w:eastAsia="en-GB"/>
        </w:rPr>
        <w:t xml:space="preserve">. When opportunities arise consistent with the Council’s policies diversification will be sought. </w:t>
      </w:r>
    </w:p>
    <w:p w14:paraId="77EF2330" w14:textId="77777777" w:rsidR="00E37265" w:rsidRPr="00E37265" w:rsidRDefault="00E37265" w:rsidP="00E37265">
      <w:pPr>
        <w:pStyle w:val="ListParagraph"/>
        <w:rPr>
          <w:rFonts w:cs="Arial"/>
          <w:szCs w:val="24"/>
          <w:lang w:eastAsia="en-GB"/>
        </w:rPr>
      </w:pPr>
    </w:p>
    <w:p w14:paraId="3D28AA29" w14:textId="77777777" w:rsidR="00E37265" w:rsidRPr="00E37265" w:rsidRDefault="00E37265" w:rsidP="00E37265">
      <w:pPr>
        <w:pStyle w:val="ListParagraph"/>
        <w:numPr>
          <w:ilvl w:val="1"/>
          <w:numId w:val="13"/>
        </w:numPr>
        <w:jc w:val="both"/>
        <w:rPr>
          <w:rFonts w:cs="Arial"/>
          <w:szCs w:val="24"/>
          <w:lang w:eastAsia="en-GB"/>
        </w:rPr>
      </w:pPr>
      <w:r w:rsidRPr="00E37265">
        <w:rPr>
          <w:rFonts w:cs="Arial"/>
          <w:szCs w:val="24"/>
          <w:lang w:eastAsia="en-GB"/>
        </w:rPr>
        <w:t>As a route to diversification, along with additional improved service resilience, economies of scale and improved returns, the Council is considering joining a collective investment arrangement as part of a shared service with the GLA, managed by the GLA’s investment subsidiary, London Treasury Limited, which is authorised and regulated by the Financial Conduct Authority.</w:t>
      </w:r>
    </w:p>
    <w:p w14:paraId="5C14AEE6" w14:textId="77777777" w:rsidR="00E37265" w:rsidRDefault="00E37265" w:rsidP="00E37265">
      <w:pPr>
        <w:pStyle w:val="ListParagraph"/>
        <w:rPr>
          <w:rFonts w:cs="Arial"/>
          <w:szCs w:val="24"/>
          <w:highlight w:val="yellow"/>
          <w:lang w:eastAsia="en-GB"/>
        </w:rPr>
      </w:pPr>
    </w:p>
    <w:p w14:paraId="20869CC0" w14:textId="77777777" w:rsidR="00E37265" w:rsidRPr="00E37265" w:rsidRDefault="00E37265" w:rsidP="00E37265">
      <w:pPr>
        <w:pStyle w:val="ListParagraph"/>
        <w:numPr>
          <w:ilvl w:val="1"/>
          <w:numId w:val="13"/>
        </w:numPr>
        <w:jc w:val="both"/>
        <w:rPr>
          <w:rFonts w:cs="Arial"/>
          <w:szCs w:val="24"/>
          <w:lang w:eastAsia="en-GB"/>
        </w:rPr>
      </w:pPr>
      <w:r w:rsidRPr="00E37265">
        <w:rPr>
          <w:rFonts w:cs="Arial"/>
          <w:szCs w:val="24"/>
          <w:lang w:eastAsia="en-GB"/>
        </w:rPr>
        <w:t xml:space="preserve">The draft pooled investment strategy for this arrangement is included within Appendix F but is subject to the agreement of all participating authorities; the Director of Finance is authorised, having taken proper advice from Link or other suitably qualified advisor, to agree amendments to this, provided that the underlying exposures of any amended strategy do not breach the limits set out in Appendix F. </w:t>
      </w:r>
    </w:p>
    <w:p w14:paraId="122D890B" w14:textId="77777777" w:rsidR="00E37265" w:rsidRPr="00644A6C" w:rsidRDefault="00E37265" w:rsidP="00E37265">
      <w:pPr>
        <w:pStyle w:val="ListParagraph"/>
        <w:ind w:left="709"/>
        <w:jc w:val="both"/>
        <w:rPr>
          <w:rFonts w:cs="Arial"/>
          <w:szCs w:val="24"/>
          <w:lang w:eastAsia="en-GB"/>
        </w:rPr>
      </w:pPr>
    </w:p>
    <w:p w14:paraId="003DE47F" w14:textId="1D79ADF6" w:rsidR="00F53609" w:rsidRPr="00644A6C" w:rsidRDefault="00F53609" w:rsidP="004E1FB4">
      <w:pPr>
        <w:pStyle w:val="ListParagraph"/>
        <w:numPr>
          <w:ilvl w:val="1"/>
          <w:numId w:val="13"/>
        </w:numPr>
        <w:ind w:left="709" w:hanging="709"/>
        <w:jc w:val="both"/>
        <w:rPr>
          <w:rFonts w:cs="Arial"/>
          <w:szCs w:val="24"/>
          <w:lang w:eastAsia="en-GB"/>
        </w:rPr>
      </w:pPr>
      <w:r w:rsidRPr="00F53609">
        <w:rPr>
          <w:rFonts w:cs="Arial"/>
          <w:szCs w:val="24"/>
          <w:lang w:eastAsia="en-GB"/>
        </w:rPr>
        <w:t>Authority has previously been given to place funds in ‘non-standard investments’ up to a value of £10m.</w:t>
      </w:r>
      <w:r>
        <w:rPr>
          <w:rFonts w:cs="Arial"/>
          <w:szCs w:val="24"/>
          <w:lang w:eastAsia="en-GB"/>
        </w:rPr>
        <w:t xml:space="preserve">  </w:t>
      </w:r>
      <w:r w:rsidR="00E37265">
        <w:rPr>
          <w:rFonts w:cs="Arial"/>
          <w:szCs w:val="24"/>
          <w:lang w:eastAsia="en-GB"/>
        </w:rPr>
        <w:t xml:space="preserve">This has been replaced by a 10% allocation to strategic investments. </w:t>
      </w:r>
    </w:p>
    <w:p w14:paraId="2844B4A1" w14:textId="6648710E" w:rsidR="004E1FB4" w:rsidRPr="004E1FB4" w:rsidRDefault="004E1FB4" w:rsidP="004E1FB4">
      <w:pPr>
        <w:pStyle w:val="subhead"/>
        <w:numPr>
          <w:ilvl w:val="0"/>
          <w:numId w:val="0"/>
        </w:numPr>
        <w:ind w:left="360" w:hanging="360"/>
        <w:rPr>
          <w:b w:val="0"/>
          <w:noProof w:val="0"/>
          <w:color w:val="0D0D0D" w:themeColor="text1" w:themeTint="F2"/>
          <w:spacing w:val="-5"/>
          <w:sz w:val="24"/>
          <w:szCs w:val="24"/>
          <w:lang w:eastAsia="en-GB"/>
        </w:rPr>
      </w:pPr>
      <w:bookmarkStart w:id="14" w:name="_Toc60749561"/>
      <w:r w:rsidRPr="004E1FB4">
        <w:rPr>
          <w:bCs/>
          <w:color w:val="0D0D0D" w:themeColor="text1" w:themeTint="F2"/>
          <w:sz w:val="24"/>
          <w:szCs w:val="24"/>
        </w:rPr>
        <w:t>Investment returns expectations</w:t>
      </w:r>
      <w:bookmarkEnd w:id="14"/>
      <w:r w:rsidRPr="004E1FB4">
        <w:rPr>
          <w:b w:val="0"/>
          <w:noProof w:val="0"/>
          <w:color w:val="0D0D0D" w:themeColor="text1" w:themeTint="F2"/>
          <w:spacing w:val="-5"/>
          <w:sz w:val="24"/>
          <w:szCs w:val="24"/>
          <w:lang w:eastAsia="en-GB"/>
        </w:rPr>
        <w:t xml:space="preserve"> </w:t>
      </w:r>
    </w:p>
    <w:p w14:paraId="0DA9C17E" w14:textId="77777777" w:rsidR="004E1FB4" w:rsidRPr="004E1FB4" w:rsidRDefault="004E1FB4" w:rsidP="004E1FB4">
      <w:pPr>
        <w:pStyle w:val="ListParagraph"/>
        <w:numPr>
          <w:ilvl w:val="1"/>
          <w:numId w:val="13"/>
        </w:numPr>
        <w:ind w:left="709" w:hanging="709"/>
        <w:jc w:val="both"/>
        <w:rPr>
          <w:rFonts w:cs="Arial"/>
          <w:szCs w:val="24"/>
          <w:lang w:eastAsia="en-GB"/>
        </w:rPr>
      </w:pPr>
      <w:r w:rsidRPr="004E1FB4">
        <w:rPr>
          <w:rFonts w:cs="Arial"/>
          <w:szCs w:val="24"/>
          <w:lang w:eastAsia="en-GB"/>
        </w:rPr>
        <w:t xml:space="preserve">Link Asset Services Interest Rate Forecast suggests that Bank Rate is unlikely to rise from 0.10% for a considerable period and therefore investment earnings from money market-related instruments will be sub 0.50% for the foreseeable future. </w:t>
      </w:r>
    </w:p>
    <w:p w14:paraId="4470B313" w14:textId="77777777" w:rsidR="004E1FB4" w:rsidRPr="004E1FB4" w:rsidRDefault="004E1FB4" w:rsidP="004E1FB4">
      <w:pPr>
        <w:pStyle w:val="ListParagraph"/>
        <w:ind w:left="709"/>
        <w:jc w:val="both"/>
        <w:rPr>
          <w:rFonts w:cs="Arial"/>
          <w:szCs w:val="24"/>
          <w:lang w:eastAsia="en-GB"/>
        </w:rPr>
      </w:pPr>
    </w:p>
    <w:p w14:paraId="3292B180" w14:textId="77777777" w:rsidR="004E1FB4" w:rsidRPr="004E1FB4" w:rsidRDefault="004E1FB4" w:rsidP="004E1FB4">
      <w:pPr>
        <w:pStyle w:val="ListParagraph"/>
        <w:numPr>
          <w:ilvl w:val="1"/>
          <w:numId w:val="13"/>
        </w:numPr>
        <w:ind w:left="709" w:hanging="709"/>
        <w:jc w:val="both"/>
        <w:rPr>
          <w:rFonts w:cs="Arial"/>
          <w:szCs w:val="24"/>
          <w:lang w:eastAsia="en-GB"/>
        </w:rPr>
      </w:pPr>
      <w:r w:rsidRPr="004E1FB4">
        <w:rPr>
          <w:rFonts w:cs="Arial"/>
          <w:szCs w:val="24"/>
          <w:lang w:eastAsia="en-GB"/>
        </w:rPr>
        <w:lastRenderedPageBreak/>
        <w:t>The suggested budgeted investment earnings rates for returns on investments placed for periods up to about three months during each financial year are as follows:</w:t>
      </w:r>
    </w:p>
    <w:p w14:paraId="40B04DEC" w14:textId="77777777" w:rsidR="004E1FB4" w:rsidRDefault="004E1FB4" w:rsidP="004E1FB4">
      <w:pPr>
        <w:jc w:val="both"/>
        <w:rPr>
          <w:rFonts w:cs="Arial"/>
          <w:color w:val="0D0D0D" w:themeColor="text1" w:themeTint="F2"/>
          <w:sz w:val="22"/>
          <w:szCs w:val="22"/>
        </w:rPr>
      </w:pPr>
    </w:p>
    <w:p w14:paraId="46AA2915" w14:textId="77777777" w:rsidR="004E1FB4" w:rsidRPr="004E1FB4" w:rsidRDefault="004E1FB4" w:rsidP="004E1FB4">
      <w:pPr>
        <w:pStyle w:val="ListParagraph"/>
        <w:numPr>
          <w:ilvl w:val="1"/>
          <w:numId w:val="12"/>
        </w:numPr>
        <w:ind w:left="1080"/>
        <w:jc w:val="both"/>
        <w:rPr>
          <w:rFonts w:cs="Arial"/>
          <w:bCs/>
          <w:color w:val="0D0D0D" w:themeColor="text1" w:themeTint="F2"/>
        </w:rPr>
      </w:pPr>
      <w:r w:rsidRPr="004E1FB4">
        <w:rPr>
          <w:rFonts w:cs="Arial"/>
          <w:bCs/>
          <w:color w:val="0D0D0D" w:themeColor="text1" w:themeTint="F2"/>
        </w:rPr>
        <w:t>2020/21: 0.10%</w:t>
      </w:r>
    </w:p>
    <w:p w14:paraId="08F6D603" w14:textId="77777777" w:rsidR="004E1FB4" w:rsidRPr="004E1FB4" w:rsidRDefault="004E1FB4" w:rsidP="004E1FB4">
      <w:pPr>
        <w:pStyle w:val="ListParagraph"/>
        <w:numPr>
          <w:ilvl w:val="1"/>
          <w:numId w:val="12"/>
        </w:numPr>
        <w:ind w:left="1080"/>
        <w:jc w:val="both"/>
        <w:rPr>
          <w:rFonts w:cs="Arial"/>
          <w:bCs/>
          <w:color w:val="0D0D0D" w:themeColor="text1" w:themeTint="F2"/>
        </w:rPr>
      </w:pPr>
      <w:r w:rsidRPr="004E1FB4">
        <w:rPr>
          <w:rFonts w:cs="Arial"/>
          <w:bCs/>
          <w:color w:val="0D0D0D" w:themeColor="text1" w:themeTint="F2"/>
        </w:rPr>
        <w:t>2021/22: 0.10%</w:t>
      </w:r>
    </w:p>
    <w:p w14:paraId="007CDA3B" w14:textId="77777777" w:rsidR="004E1FB4" w:rsidRPr="004E1FB4" w:rsidRDefault="004E1FB4" w:rsidP="004E1FB4">
      <w:pPr>
        <w:pStyle w:val="ListParagraph"/>
        <w:numPr>
          <w:ilvl w:val="1"/>
          <w:numId w:val="12"/>
        </w:numPr>
        <w:ind w:left="1080"/>
        <w:jc w:val="both"/>
        <w:rPr>
          <w:rFonts w:cs="Arial"/>
          <w:bCs/>
          <w:color w:val="0D0D0D" w:themeColor="text1" w:themeTint="F2"/>
        </w:rPr>
      </w:pPr>
      <w:r w:rsidRPr="004E1FB4">
        <w:rPr>
          <w:rFonts w:cs="Arial"/>
          <w:bCs/>
          <w:color w:val="0D0D0D" w:themeColor="text1" w:themeTint="F2"/>
        </w:rPr>
        <w:t>2022/23: 0.10%</w:t>
      </w:r>
    </w:p>
    <w:p w14:paraId="50CCB232" w14:textId="77777777" w:rsidR="004E1FB4" w:rsidRPr="004E1FB4" w:rsidRDefault="004E1FB4" w:rsidP="004E1FB4">
      <w:pPr>
        <w:pStyle w:val="ListParagraph"/>
        <w:numPr>
          <w:ilvl w:val="1"/>
          <w:numId w:val="12"/>
        </w:numPr>
        <w:ind w:left="1080"/>
        <w:jc w:val="both"/>
        <w:rPr>
          <w:rFonts w:cs="Arial"/>
          <w:bCs/>
          <w:color w:val="0D0D0D" w:themeColor="text1" w:themeTint="F2"/>
        </w:rPr>
      </w:pPr>
      <w:r w:rsidRPr="004E1FB4">
        <w:rPr>
          <w:rFonts w:cs="Arial"/>
          <w:bCs/>
          <w:color w:val="0D0D0D" w:themeColor="text1" w:themeTint="F2"/>
        </w:rPr>
        <w:t>2023/24: 0.25%</w:t>
      </w:r>
    </w:p>
    <w:p w14:paraId="57DCFACF" w14:textId="77777777" w:rsidR="004E1FB4" w:rsidRPr="004E1FB4" w:rsidRDefault="004E1FB4" w:rsidP="004E1FB4">
      <w:pPr>
        <w:pStyle w:val="ListParagraph"/>
        <w:numPr>
          <w:ilvl w:val="1"/>
          <w:numId w:val="12"/>
        </w:numPr>
        <w:ind w:left="1080"/>
        <w:jc w:val="both"/>
        <w:rPr>
          <w:rFonts w:cs="Arial"/>
          <w:bCs/>
          <w:color w:val="0D0D0D" w:themeColor="text1" w:themeTint="F2"/>
        </w:rPr>
      </w:pPr>
      <w:r w:rsidRPr="004E1FB4">
        <w:rPr>
          <w:rFonts w:cs="Arial"/>
          <w:bCs/>
          <w:color w:val="0D0D0D" w:themeColor="text1" w:themeTint="F2"/>
        </w:rPr>
        <w:t>2024/25: 0.75%</w:t>
      </w:r>
    </w:p>
    <w:p w14:paraId="2B52DE1D" w14:textId="251FD06F" w:rsidR="00014D60" w:rsidRDefault="00014D60" w:rsidP="004E1FB4">
      <w:pPr>
        <w:jc w:val="both"/>
        <w:rPr>
          <w:rFonts w:cs="Arial"/>
          <w:color w:val="0D0D0D" w:themeColor="text1" w:themeTint="F2"/>
          <w:sz w:val="22"/>
          <w:szCs w:val="22"/>
        </w:rPr>
      </w:pPr>
    </w:p>
    <w:p w14:paraId="508BFA41" w14:textId="77777777" w:rsidR="00014D60" w:rsidRDefault="00014D60" w:rsidP="004E1FB4">
      <w:pPr>
        <w:jc w:val="both"/>
        <w:rPr>
          <w:rFonts w:cs="Arial"/>
          <w:color w:val="0D0D0D" w:themeColor="text1" w:themeTint="F2"/>
          <w:sz w:val="22"/>
          <w:szCs w:val="22"/>
        </w:rPr>
      </w:pPr>
    </w:p>
    <w:p w14:paraId="27E4F35F" w14:textId="03646939" w:rsidR="004E1FB4" w:rsidRDefault="004E1FB4" w:rsidP="004E1FB4">
      <w:pPr>
        <w:pStyle w:val="ListParagraph"/>
        <w:numPr>
          <w:ilvl w:val="1"/>
          <w:numId w:val="13"/>
        </w:numPr>
        <w:ind w:left="709" w:hanging="709"/>
        <w:jc w:val="both"/>
        <w:rPr>
          <w:rFonts w:cs="Arial"/>
          <w:szCs w:val="24"/>
          <w:lang w:eastAsia="en-GB"/>
        </w:rPr>
      </w:pPr>
      <w:r w:rsidRPr="004E1FB4">
        <w:rPr>
          <w:rFonts w:cs="Arial"/>
          <w:szCs w:val="24"/>
          <w:lang w:eastAsia="en-GB"/>
        </w:rPr>
        <w:t>Link Asset Services further advise that:</w:t>
      </w:r>
    </w:p>
    <w:p w14:paraId="3E256009" w14:textId="77777777" w:rsidR="00BF7865" w:rsidRPr="004E1FB4" w:rsidRDefault="00BF7865" w:rsidP="00BF7865">
      <w:pPr>
        <w:pStyle w:val="ListParagraph"/>
        <w:ind w:left="709"/>
        <w:jc w:val="both"/>
        <w:rPr>
          <w:rFonts w:cs="Arial"/>
          <w:szCs w:val="24"/>
          <w:lang w:eastAsia="en-GB"/>
        </w:rPr>
      </w:pPr>
    </w:p>
    <w:p w14:paraId="1559436E" w14:textId="68136159" w:rsidR="004E1FB4" w:rsidRDefault="004E1FB4" w:rsidP="004E1FB4">
      <w:pPr>
        <w:pStyle w:val="ListParagraph"/>
        <w:numPr>
          <w:ilvl w:val="1"/>
          <w:numId w:val="12"/>
        </w:numPr>
        <w:ind w:left="1080"/>
        <w:jc w:val="both"/>
        <w:rPr>
          <w:rFonts w:cs="Arial"/>
          <w:bCs/>
          <w:color w:val="0D0D0D" w:themeColor="text1" w:themeTint="F2"/>
        </w:rPr>
      </w:pPr>
      <w:r w:rsidRPr="004E1FB4">
        <w:rPr>
          <w:rFonts w:cs="Arial"/>
          <w:bCs/>
          <w:color w:val="0D0D0D" w:themeColor="text1" w:themeTint="F2"/>
        </w:rPr>
        <w:t xml:space="preserve">The overall balance of risks to economic growth in the UK is probably relatively </w:t>
      </w:r>
      <w:r w:rsidR="00BF7865" w:rsidRPr="004E1FB4">
        <w:rPr>
          <w:rFonts w:cs="Arial"/>
          <w:bCs/>
          <w:color w:val="0D0D0D" w:themeColor="text1" w:themeTint="F2"/>
        </w:rPr>
        <w:t>even but</w:t>
      </w:r>
      <w:r w:rsidRPr="004E1FB4">
        <w:rPr>
          <w:rFonts w:cs="Arial"/>
          <w:bCs/>
          <w:color w:val="0D0D0D" w:themeColor="text1" w:themeTint="F2"/>
        </w:rPr>
        <w:t xml:space="preserve"> is subject to major uncertainty due to the pandemic and market reaction to the Brexit agreement. </w:t>
      </w:r>
    </w:p>
    <w:p w14:paraId="7AA41271" w14:textId="77777777" w:rsidR="00BF7865" w:rsidRPr="004E1FB4" w:rsidRDefault="00BF7865" w:rsidP="00BF7865">
      <w:pPr>
        <w:pStyle w:val="ListParagraph"/>
        <w:ind w:left="1080"/>
        <w:jc w:val="both"/>
        <w:rPr>
          <w:rFonts w:cs="Arial"/>
          <w:bCs/>
          <w:color w:val="0D0D0D" w:themeColor="text1" w:themeTint="F2"/>
        </w:rPr>
      </w:pPr>
    </w:p>
    <w:p w14:paraId="1C7C841E" w14:textId="77777777" w:rsidR="004E1FB4" w:rsidRPr="004E1FB4" w:rsidRDefault="004E1FB4" w:rsidP="004E1FB4">
      <w:pPr>
        <w:pStyle w:val="ListParagraph"/>
        <w:numPr>
          <w:ilvl w:val="1"/>
          <w:numId w:val="12"/>
        </w:numPr>
        <w:ind w:left="1080"/>
        <w:jc w:val="both"/>
        <w:rPr>
          <w:rFonts w:cs="Arial"/>
          <w:bCs/>
          <w:color w:val="0D0D0D" w:themeColor="text1" w:themeTint="F2"/>
        </w:rPr>
      </w:pPr>
      <w:r w:rsidRPr="004E1FB4">
        <w:rPr>
          <w:rFonts w:cs="Arial"/>
          <w:bCs/>
          <w:color w:val="0D0D0D" w:themeColor="text1" w:themeTint="F2"/>
        </w:rPr>
        <w:t>There is relatively little UK domestic risk of increases or decreases in Bank Rate and shorter term PWLB rates until 2023/24 at the earliest</w:t>
      </w:r>
    </w:p>
    <w:p w14:paraId="3470D3AB" w14:textId="77777777" w:rsidR="004E1FB4" w:rsidRDefault="004E1FB4" w:rsidP="004E1FB4">
      <w:pPr>
        <w:jc w:val="both"/>
        <w:rPr>
          <w:rFonts w:eastAsia="Bliss 2 Regular" w:cs="Arial"/>
          <w:b/>
          <w:color w:val="0D0D0D" w:themeColor="text1" w:themeTint="F2"/>
          <w:sz w:val="22"/>
          <w:szCs w:val="22"/>
        </w:rPr>
      </w:pPr>
    </w:p>
    <w:p w14:paraId="6CAE67F7" w14:textId="5F50B154" w:rsidR="004E1FB4" w:rsidRDefault="004E1FB4" w:rsidP="004E1FB4">
      <w:pPr>
        <w:jc w:val="both"/>
        <w:rPr>
          <w:rFonts w:eastAsia="Bliss 2 Regular" w:cs="Arial"/>
          <w:b/>
          <w:color w:val="0D0D0D" w:themeColor="text1" w:themeTint="F2"/>
          <w:szCs w:val="24"/>
        </w:rPr>
      </w:pPr>
      <w:r w:rsidRPr="004E1FB4">
        <w:rPr>
          <w:rFonts w:eastAsia="Bliss 2 Regular" w:cs="Arial"/>
          <w:b/>
          <w:color w:val="0D0D0D" w:themeColor="text1" w:themeTint="F2"/>
          <w:szCs w:val="24"/>
        </w:rPr>
        <w:t>Negative investment rates</w:t>
      </w:r>
    </w:p>
    <w:p w14:paraId="35AFBDCE" w14:textId="77777777" w:rsidR="004E1FB4" w:rsidRPr="004E1FB4" w:rsidRDefault="004E1FB4" w:rsidP="004E1FB4">
      <w:pPr>
        <w:jc w:val="both"/>
        <w:rPr>
          <w:rFonts w:eastAsia="Bliss 2 Regular" w:cs="Arial"/>
          <w:b/>
          <w:color w:val="0D0D0D" w:themeColor="text1" w:themeTint="F2"/>
          <w:szCs w:val="24"/>
        </w:rPr>
      </w:pPr>
    </w:p>
    <w:p w14:paraId="5BC878C6" w14:textId="77777777" w:rsidR="004E1FB4" w:rsidRPr="004E1FB4" w:rsidRDefault="004E1FB4" w:rsidP="004E1FB4">
      <w:pPr>
        <w:pStyle w:val="ListParagraph"/>
        <w:numPr>
          <w:ilvl w:val="1"/>
          <w:numId w:val="13"/>
        </w:numPr>
        <w:ind w:left="709" w:hanging="709"/>
        <w:jc w:val="both"/>
        <w:rPr>
          <w:rFonts w:cs="Arial"/>
          <w:szCs w:val="24"/>
          <w:lang w:eastAsia="en-GB"/>
        </w:rPr>
      </w:pPr>
      <w:r w:rsidRPr="004E1FB4">
        <w:rPr>
          <w:rFonts w:cs="Arial"/>
          <w:szCs w:val="24"/>
          <w:lang w:eastAsia="en-GB"/>
        </w:rPr>
        <w:t xml:space="preserve">While the Bank of England said in August / September 2020 that it is unlikely to introduce a negative Bank Rate, at least in the next 6 -12 months, some deposit accounts are already offering negative rates for shorter periods.  As part of the response to the pandemic and lockdown, the Bank and the Government have provided financial markets and businesses with plentiful access to credit, either directly or through commercial banks.  In addition, the Government has provided large sums of grants to local authorities to help deal with the COVID crisis; this has caused some local authorities to have sudden large increases in cash balances searching for an investment home, some of which was only very short term until those sums were able to be passed on. </w:t>
      </w:r>
    </w:p>
    <w:p w14:paraId="34CE373F" w14:textId="77777777" w:rsidR="004E1FB4" w:rsidRPr="004E1FB4" w:rsidRDefault="004E1FB4" w:rsidP="004E1FB4">
      <w:pPr>
        <w:jc w:val="both"/>
        <w:rPr>
          <w:rFonts w:cs="Arial"/>
          <w:szCs w:val="24"/>
          <w:lang w:eastAsia="en-GB"/>
        </w:rPr>
      </w:pPr>
    </w:p>
    <w:p w14:paraId="662A3444" w14:textId="77777777" w:rsidR="004E1FB4" w:rsidRPr="004E1FB4" w:rsidRDefault="004E1FB4" w:rsidP="004E1FB4">
      <w:pPr>
        <w:pStyle w:val="ListParagraph"/>
        <w:numPr>
          <w:ilvl w:val="1"/>
          <w:numId w:val="13"/>
        </w:numPr>
        <w:ind w:left="709" w:hanging="709"/>
        <w:jc w:val="both"/>
        <w:rPr>
          <w:rFonts w:cs="Arial"/>
          <w:szCs w:val="24"/>
          <w:lang w:eastAsia="en-GB"/>
        </w:rPr>
      </w:pPr>
      <w:r w:rsidRPr="004E1FB4">
        <w:rPr>
          <w:rFonts w:cs="Arial"/>
          <w:szCs w:val="24"/>
          <w:lang w:eastAsia="en-GB"/>
        </w:rPr>
        <w:t xml:space="preserve">As for money market funds (MMFs), yields have continued to drift lower. Fund managers have resorted to trimming fee levels to ensure that net yields for investors remain in positive territory where possible and practical. Investor cash flow uncertainty, and the need to maintain liquidity in these unprecedented times, has meant there is a surfeit of money swilling around at the very short end of the market. This has seen a number of market operators, including the DMADF, offer nil or negative rates for short term maturities. This is not universal, and MMFs are still offering a marginally positive return, as are a number of financial institutions for investments at the very short end of the yield curve. </w:t>
      </w:r>
    </w:p>
    <w:p w14:paraId="7C24005F" w14:textId="77777777" w:rsidR="004E1FB4" w:rsidRPr="004E1FB4" w:rsidRDefault="004E1FB4" w:rsidP="004E1FB4">
      <w:pPr>
        <w:jc w:val="both"/>
        <w:rPr>
          <w:rFonts w:cs="Arial"/>
          <w:szCs w:val="24"/>
          <w:lang w:eastAsia="en-GB"/>
        </w:rPr>
      </w:pPr>
    </w:p>
    <w:p w14:paraId="0C2F3D64" w14:textId="77777777" w:rsidR="004E1FB4" w:rsidRPr="004E1FB4" w:rsidRDefault="004E1FB4" w:rsidP="004E1FB4">
      <w:pPr>
        <w:pStyle w:val="ListParagraph"/>
        <w:numPr>
          <w:ilvl w:val="1"/>
          <w:numId w:val="13"/>
        </w:numPr>
        <w:ind w:left="709" w:hanging="709"/>
        <w:jc w:val="both"/>
        <w:rPr>
          <w:rFonts w:cs="Arial"/>
          <w:szCs w:val="24"/>
          <w:lang w:eastAsia="en-GB"/>
        </w:rPr>
      </w:pPr>
      <w:r w:rsidRPr="004E1FB4">
        <w:rPr>
          <w:rFonts w:cs="Arial"/>
          <w:szCs w:val="24"/>
          <w:lang w:eastAsia="en-GB"/>
        </w:rPr>
        <w:t>Inter-local authority lending and borrowing rates have also declined due to the surge in the levels of cash seeking a short-term home at a time when many local authorities are probably having difficulties over accurately forecasting when disbursements of funds received will occur or when further large receipts will be received from the Government.</w:t>
      </w:r>
    </w:p>
    <w:p w14:paraId="20CED4C5" w14:textId="77777777" w:rsidR="00F53609" w:rsidRPr="004E1FB4" w:rsidRDefault="00F53609" w:rsidP="004E1FB4">
      <w:pPr>
        <w:jc w:val="both"/>
        <w:rPr>
          <w:rFonts w:cs="Arial"/>
          <w:szCs w:val="24"/>
          <w:lang w:eastAsia="en-GB"/>
        </w:rPr>
      </w:pPr>
    </w:p>
    <w:p w14:paraId="7FA7D868" w14:textId="14CB3681" w:rsidR="004E1FB4" w:rsidRDefault="004E1FB4" w:rsidP="004E1FB4">
      <w:pPr>
        <w:spacing w:before="90"/>
        <w:jc w:val="both"/>
        <w:rPr>
          <w:rFonts w:cs="Arial"/>
          <w:b/>
          <w:color w:val="000000"/>
          <w:szCs w:val="24"/>
        </w:rPr>
      </w:pPr>
      <w:r w:rsidRPr="004E1FB4">
        <w:rPr>
          <w:rFonts w:cs="Arial"/>
          <w:b/>
          <w:color w:val="000000"/>
          <w:szCs w:val="24"/>
        </w:rPr>
        <w:lastRenderedPageBreak/>
        <w:t>Investment treasury indicator and limit - total principal funds invested for greater than 365 days</w:t>
      </w:r>
    </w:p>
    <w:p w14:paraId="52F69DDF" w14:textId="77777777" w:rsidR="004E1FB4" w:rsidRDefault="004E1FB4" w:rsidP="004E1FB4">
      <w:pPr>
        <w:spacing w:before="90"/>
        <w:jc w:val="both"/>
        <w:rPr>
          <w:rFonts w:cs="Arial"/>
          <w:b/>
          <w:color w:val="000000"/>
          <w:szCs w:val="24"/>
        </w:rPr>
      </w:pPr>
    </w:p>
    <w:p w14:paraId="66CC0892" w14:textId="77777777" w:rsidR="004E1FB4" w:rsidRPr="004E1FB4" w:rsidRDefault="004E1FB4" w:rsidP="004E1FB4">
      <w:pPr>
        <w:pStyle w:val="ListParagraph"/>
        <w:numPr>
          <w:ilvl w:val="1"/>
          <w:numId w:val="13"/>
        </w:numPr>
        <w:ind w:left="709" w:hanging="709"/>
        <w:jc w:val="both"/>
        <w:rPr>
          <w:rFonts w:cs="Arial"/>
          <w:szCs w:val="24"/>
          <w:lang w:eastAsia="en-GB"/>
        </w:rPr>
      </w:pPr>
      <w:r w:rsidRPr="004E1FB4">
        <w:rPr>
          <w:rFonts w:cs="Arial"/>
          <w:szCs w:val="24"/>
          <w:lang w:eastAsia="en-GB"/>
        </w:rPr>
        <w:t>These limits are set with regard to the Council’s liquidity requirements and to reduce the need for early sale of an investment and are based on the availability of funds after each year-end.</w:t>
      </w:r>
    </w:p>
    <w:p w14:paraId="3C71B922" w14:textId="77777777" w:rsidR="004E1FB4" w:rsidRPr="004E1FB4" w:rsidRDefault="004E1FB4" w:rsidP="004E1FB4">
      <w:pPr>
        <w:pStyle w:val="ListParagraph"/>
        <w:ind w:left="709"/>
        <w:jc w:val="both"/>
        <w:rPr>
          <w:rFonts w:cs="Arial"/>
          <w:szCs w:val="24"/>
          <w:lang w:eastAsia="en-GB"/>
        </w:rPr>
      </w:pPr>
    </w:p>
    <w:p w14:paraId="71D82876" w14:textId="77777777" w:rsidR="004E1FB4" w:rsidRPr="004E1FB4" w:rsidRDefault="004E1FB4" w:rsidP="004E1FB4">
      <w:pPr>
        <w:pStyle w:val="ListParagraph"/>
        <w:numPr>
          <w:ilvl w:val="1"/>
          <w:numId w:val="13"/>
        </w:numPr>
        <w:ind w:left="709" w:hanging="709"/>
        <w:jc w:val="both"/>
        <w:rPr>
          <w:rFonts w:cs="Arial"/>
          <w:szCs w:val="24"/>
          <w:lang w:eastAsia="en-GB"/>
        </w:rPr>
      </w:pPr>
      <w:r w:rsidRPr="004E1FB4">
        <w:rPr>
          <w:rFonts w:cs="Arial"/>
          <w:szCs w:val="24"/>
          <w:lang w:eastAsia="en-GB"/>
        </w:rPr>
        <w:t xml:space="preserve">The Council is asked to approve the following treasury indicator and limit: </w:t>
      </w:r>
    </w:p>
    <w:p w14:paraId="741F0EE8" w14:textId="250C77D7" w:rsidR="004E1FB4" w:rsidRDefault="004E1FB4" w:rsidP="004E1FB4">
      <w:pPr>
        <w:jc w:val="both"/>
        <w:rPr>
          <w:rFonts w:cs="Arial"/>
          <w:szCs w:val="24"/>
          <w:lang w:eastAsia="en-GB"/>
        </w:rPr>
      </w:pPr>
    </w:p>
    <w:p w14:paraId="15A611CD" w14:textId="77777777" w:rsidR="00014D60" w:rsidRDefault="00014D60" w:rsidP="004E1FB4">
      <w:pPr>
        <w:jc w:val="both"/>
        <w:rPr>
          <w:rFonts w:cs="Arial"/>
          <w:szCs w:val="24"/>
          <w:lang w:eastAsia="en-GB"/>
        </w:rPr>
      </w:pPr>
    </w:p>
    <w:p w14:paraId="2AAFCFD4" w14:textId="3BDFA73C" w:rsidR="004E1FB4" w:rsidRPr="004E1FB4" w:rsidRDefault="004E1FB4" w:rsidP="004E1FB4">
      <w:pPr>
        <w:jc w:val="both"/>
        <w:rPr>
          <w:rFonts w:cs="Arial"/>
          <w:sz w:val="20"/>
          <w:lang w:eastAsia="en-GB"/>
        </w:rPr>
      </w:pPr>
      <w:r w:rsidRPr="004E1FB4">
        <w:rPr>
          <w:rFonts w:cs="Arial"/>
          <w:sz w:val="20"/>
          <w:lang w:eastAsia="en-GB"/>
        </w:rPr>
        <w:t xml:space="preserve">Table </w:t>
      </w:r>
      <w:r w:rsidR="00B80383">
        <w:rPr>
          <w:rFonts w:cs="Arial"/>
          <w:sz w:val="20"/>
          <w:lang w:eastAsia="en-GB"/>
        </w:rPr>
        <w:t>12</w:t>
      </w:r>
      <w:r>
        <w:rPr>
          <w:rFonts w:cs="Arial"/>
          <w:sz w:val="20"/>
          <w:lang w:eastAsia="en-GB"/>
        </w:rPr>
        <w:t>: Limit for sums invested over 365 days</w:t>
      </w:r>
    </w:p>
    <w:p w14:paraId="46E6C81B" w14:textId="77777777" w:rsidR="004E1FB4" w:rsidRDefault="004E1FB4" w:rsidP="004E1FB4">
      <w:pPr>
        <w:jc w:val="both"/>
        <w:rPr>
          <w:rFonts w:cs="Arial"/>
          <w:szCs w:val="24"/>
          <w:lang w:eastAsia="en-GB"/>
        </w:rPr>
      </w:pPr>
      <w:r w:rsidRPr="004E1FB4">
        <w:rPr>
          <w:noProof/>
        </w:rPr>
        <w:drawing>
          <wp:inline distT="0" distB="0" distL="0" distR="0" wp14:anchorId="79F3B830" wp14:editId="1DB5B332">
            <wp:extent cx="4343400" cy="7810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43400" cy="781050"/>
                    </a:xfrm>
                    <a:prstGeom prst="rect">
                      <a:avLst/>
                    </a:prstGeom>
                    <a:noFill/>
                    <a:ln>
                      <a:noFill/>
                    </a:ln>
                  </pic:spPr>
                </pic:pic>
              </a:graphicData>
            </a:graphic>
          </wp:inline>
        </w:drawing>
      </w:r>
    </w:p>
    <w:p w14:paraId="34A6A78F" w14:textId="77777777" w:rsidR="004E1FB4" w:rsidRDefault="004E1FB4" w:rsidP="004E1FB4">
      <w:pPr>
        <w:jc w:val="both"/>
        <w:rPr>
          <w:rFonts w:cs="Arial"/>
          <w:szCs w:val="24"/>
          <w:lang w:eastAsia="en-GB"/>
        </w:rPr>
      </w:pPr>
    </w:p>
    <w:p w14:paraId="3A6A78DC" w14:textId="77777777" w:rsidR="004E1FB4" w:rsidRDefault="004E1FB4" w:rsidP="004E1FB4">
      <w:pPr>
        <w:spacing w:before="90"/>
        <w:jc w:val="both"/>
        <w:rPr>
          <w:rFonts w:cs="Arial"/>
          <w:szCs w:val="24"/>
          <w:lang w:eastAsia="en-GB"/>
        </w:rPr>
      </w:pPr>
      <w:r w:rsidRPr="004E1FB4">
        <w:rPr>
          <w:rFonts w:cs="Arial"/>
          <w:b/>
          <w:color w:val="000000"/>
          <w:szCs w:val="24"/>
        </w:rPr>
        <w:t>Investment performance / risk benchmarking</w:t>
      </w:r>
      <w:r w:rsidRPr="004E1FB4">
        <w:rPr>
          <w:rFonts w:cs="Arial"/>
          <w:szCs w:val="24"/>
          <w:lang w:eastAsia="en-GB"/>
        </w:rPr>
        <w:t xml:space="preserve"> </w:t>
      </w:r>
    </w:p>
    <w:p w14:paraId="47D73195" w14:textId="77777777" w:rsidR="004E1FB4" w:rsidRDefault="004E1FB4" w:rsidP="004E1FB4">
      <w:pPr>
        <w:spacing w:before="90"/>
        <w:jc w:val="both"/>
        <w:rPr>
          <w:rFonts w:cs="Arial"/>
          <w:szCs w:val="24"/>
          <w:lang w:eastAsia="en-GB"/>
        </w:rPr>
      </w:pPr>
    </w:p>
    <w:p w14:paraId="2595EFBB" w14:textId="77777777" w:rsidR="004E1FB4" w:rsidRPr="004E1FB4" w:rsidRDefault="004E1FB4" w:rsidP="004E1FB4">
      <w:pPr>
        <w:pStyle w:val="ListParagraph"/>
        <w:numPr>
          <w:ilvl w:val="1"/>
          <w:numId w:val="13"/>
        </w:numPr>
        <w:ind w:left="709" w:hanging="709"/>
        <w:jc w:val="both"/>
        <w:rPr>
          <w:rFonts w:cs="Arial"/>
          <w:szCs w:val="24"/>
          <w:lang w:eastAsia="en-GB"/>
        </w:rPr>
      </w:pPr>
      <w:r w:rsidRPr="004E1FB4">
        <w:rPr>
          <w:rFonts w:cs="Arial"/>
          <w:szCs w:val="24"/>
          <w:lang w:eastAsia="en-GB"/>
        </w:rPr>
        <w:t>This Council uses the current LIBOR rates as a benchmark to assess the investment performance of its investment portfolio. In addition the Council is a member of a Link Asset Services investment portfolio benchmarking group through which performance is measured against peer London authorities. The risk of default attached to the Council’s portfolio is reported by Link Asset Services on a monthly basis.</w:t>
      </w:r>
    </w:p>
    <w:p w14:paraId="041AA12B" w14:textId="77777777" w:rsidR="004E1FB4" w:rsidRPr="004E1FB4" w:rsidRDefault="004E1FB4" w:rsidP="004E1FB4">
      <w:pPr>
        <w:pStyle w:val="ListParagraph"/>
        <w:ind w:left="709"/>
        <w:jc w:val="both"/>
        <w:rPr>
          <w:rFonts w:cs="Arial"/>
          <w:szCs w:val="24"/>
          <w:lang w:eastAsia="en-GB"/>
        </w:rPr>
      </w:pPr>
    </w:p>
    <w:p w14:paraId="0CA5A5FF" w14:textId="77777777" w:rsidR="004E1FB4" w:rsidRPr="004E1FB4" w:rsidRDefault="004E1FB4" w:rsidP="004E1FB4">
      <w:pPr>
        <w:pStyle w:val="ListParagraph"/>
        <w:numPr>
          <w:ilvl w:val="1"/>
          <w:numId w:val="13"/>
        </w:numPr>
        <w:ind w:left="709" w:hanging="709"/>
        <w:jc w:val="both"/>
        <w:rPr>
          <w:rFonts w:cs="Arial"/>
          <w:szCs w:val="24"/>
          <w:lang w:eastAsia="en-GB"/>
        </w:rPr>
      </w:pPr>
      <w:r w:rsidRPr="004E1FB4">
        <w:rPr>
          <w:rFonts w:cs="Arial"/>
          <w:szCs w:val="24"/>
          <w:lang w:eastAsia="en-GB"/>
        </w:rPr>
        <w:t>The Council is appreciative that the provision of LIBOR and associated LIBID rates is expected to cease at the end of 2021. It will work with its advisors in determining suitable replacement investment benchmark(s) ahead of this cessation and will report back to members accordingly.</w:t>
      </w:r>
    </w:p>
    <w:p w14:paraId="2DE54F7D" w14:textId="77777777" w:rsidR="004E1FB4" w:rsidRPr="004E1FB4" w:rsidRDefault="004E1FB4" w:rsidP="004E1FB4">
      <w:pPr>
        <w:pStyle w:val="Subheading"/>
        <w:numPr>
          <w:ilvl w:val="0"/>
          <w:numId w:val="0"/>
        </w:numPr>
        <w:rPr>
          <w:sz w:val="24"/>
          <w:szCs w:val="24"/>
        </w:rPr>
      </w:pPr>
      <w:r w:rsidRPr="004E1FB4">
        <w:rPr>
          <w:sz w:val="24"/>
          <w:szCs w:val="24"/>
        </w:rPr>
        <w:t>End of year investment report</w:t>
      </w:r>
    </w:p>
    <w:p w14:paraId="19C45847" w14:textId="77469C8F" w:rsidR="004E1FB4" w:rsidRDefault="004E1FB4" w:rsidP="004E1FB4">
      <w:pPr>
        <w:pStyle w:val="body"/>
        <w:rPr>
          <w:noProof w:val="0"/>
          <w:spacing w:val="0"/>
          <w:sz w:val="24"/>
          <w:szCs w:val="24"/>
          <w:lang w:eastAsia="en-GB"/>
        </w:rPr>
      </w:pPr>
      <w:r w:rsidRPr="004E1FB4">
        <w:rPr>
          <w:noProof w:val="0"/>
          <w:spacing w:val="0"/>
          <w:sz w:val="24"/>
          <w:szCs w:val="24"/>
          <w:lang w:eastAsia="en-GB"/>
        </w:rPr>
        <w:t>At the end of the financial year the Council will report on its investment activity as part of the Treasury Management Outturn Report.</w:t>
      </w:r>
    </w:p>
    <w:p w14:paraId="6AF11607" w14:textId="3DE702F4" w:rsidR="00222AD2" w:rsidRDefault="00222AD2" w:rsidP="004E1FB4">
      <w:pPr>
        <w:pStyle w:val="body"/>
        <w:rPr>
          <w:noProof w:val="0"/>
          <w:spacing w:val="0"/>
          <w:sz w:val="24"/>
          <w:szCs w:val="24"/>
          <w:lang w:eastAsia="en-GB"/>
        </w:rPr>
      </w:pPr>
    </w:p>
    <w:p w14:paraId="1EFE3A52" w14:textId="4EFC2A5E" w:rsidR="00222AD2" w:rsidRPr="00887A59" w:rsidRDefault="00222AD2" w:rsidP="00222AD2">
      <w:pPr>
        <w:autoSpaceDE w:val="0"/>
        <w:autoSpaceDN w:val="0"/>
        <w:adjustRightInd w:val="0"/>
        <w:rPr>
          <w:b/>
          <w:bCs/>
          <w:sz w:val="28"/>
          <w:szCs w:val="28"/>
          <w:lang w:eastAsia="en-GB"/>
        </w:rPr>
      </w:pPr>
      <w:r w:rsidRPr="00887A59">
        <w:rPr>
          <w:b/>
          <w:bCs/>
          <w:sz w:val="28"/>
          <w:szCs w:val="28"/>
          <w:lang w:eastAsia="en-GB"/>
        </w:rPr>
        <w:t>5</w:t>
      </w:r>
      <w:r w:rsidRPr="00222AD2">
        <w:rPr>
          <w:b/>
          <w:bCs/>
          <w:sz w:val="32"/>
          <w:szCs w:val="32"/>
          <w:lang w:eastAsia="en-GB"/>
        </w:rPr>
        <w:t xml:space="preserve">. </w:t>
      </w:r>
      <w:r>
        <w:rPr>
          <w:b/>
          <w:bCs/>
          <w:sz w:val="32"/>
          <w:szCs w:val="32"/>
          <w:lang w:eastAsia="en-GB"/>
        </w:rPr>
        <w:tab/>
      </w:r>
      <w:r w:rsidRPr="00887A59">
        <w:rPr>
          <w:b/>
          <w:bCs/>
          <w:sz w:val="28"/>
          <w:szCs w:val="28"/>
          <w:lang w:eastAsia="en-GB"/>
        </w:rPr>
        <w:t>Other Treasury Issues</w:t>
      </w:r>
    </w:p>
    <w:p w14:paraId="3AF22C98" w14:textId="77A591E4" w:rsidR="00222AD2" w:rsidRDefault="00222AD2" w:rsidP="00222AD2">
      <w:pPr>
        <w:autoSpaceDE w:val="0"/>
        <w:autoSpaceDN w:val="0"/>
        <w:adjustRightInd w:val="0"/>
        <w:rPr>
          <w:b/>
          <w:bCs/>
          <w:sz w:val="32"/>
          <w:szCs w:val="32"/>
          <w:lang w:eastAsia="en-GB"/>
        </w:rPr>
      </w:pPr>
    </w:p>
    <w:p w14:paraId="16C51911" w14:textId="77777777" w:rsidR="00222AD2" w:rsidRDefault="00222AD2" w:rsidP="008E3E63">
      <w:pPr>
        <w:pStyle w:val="ListParagraph"/>
        <w:numPr>
          <w:ilvl w:val="1"/>
          <w:numId w:val="16"/>
        </w:numPr>
        <w:ind w:left="709" w:hanging="709"/>
        <w:jc w:val="both"/>
        <w:rPr>
          <w:rFonts w:cs="Arial"/>
          <w:szCs w:val="24"/>
          <w:lang w:eastAsia="en-GB"/>
        </w:rPr>
      </w:pPr>
      <w:r w:rsidRPr="00222AD2">
        <w:rPr>
          <w:rFonts w:cs="Arial"/>
          <w:szCs w:val="24"/>
          <w:lang w:eastAsia="en-GB"/>
        </w:rPr>
        <w:t xml:space="preserve">A financial derivative is a contract, whose value is based on, or ‘derived’ from, an underlying financial instrument such as a loan. Local Authorities have previously been able to make use of financial derivatives embedded into loans and investments, both to reduce interest rate risk (e.g. forward deals) and to reduce costs or increase income at the expense of greater risk (e.g. LOBO loans). </w:t>
      </w:r>
    </w:p>
    <w:p w14:paraId="28226F9C" w14:textId="225F6C8E" w:rsidR="00222AD2" w:rsidRDefault="00222AD2" w:rsidP="00222AD2">
      <w:pPr>
        <w:pStyle w:val="ListParagraph"/>
        <w:ind w:left="709"/>
        <w:jc w:val="both"/>
        <w:rPr>
          <w:rFonts w:cs="Arial"/>
          <w:szCs w:val="24"/>
          <w:lang w:eastAsia="en-GB"/>
        </w:rPr>
      </w:pPr>
    </w:p>
    <w:p w14:paraId="14C3A0DB" w14:textId="08BBCFE0" w:rsidR="00222AD2" w:rsidRPr="00222AD2" w:rsidRDefault="00222AD2" w:rsidP="008E3E63">
      <w:pPr>
        <w:pStyle w:val="ListParagraph"/>
        <w:numPr>
          <w:ilvl w:val="1"/>
          <w:numId w:val="16"/>
        </w:numPr>
        <w:ind w:left="709" w:hanging="709"/>
        <w:jc w:val="both"/>
        <w:rPr>
          <w:rFonts w:cs="Arial"/>
          <w:szCs w:val="24"/>
          <w:lang w:eastAsia="en-GB"/>
        </w:rPr>
      </w:pPr>
      <w:r w:rsidRPr="00222AD2">
        <w:rPr>
          <w:rFonts w:cs="Arial"/>
          <w:szCs w:val="24"/>
          <w:lang w:eastAsia="en-GB"/>
        </w:rPr>
        <w:t xml:space="preserve">The general power of competence in Section 1 of the Localism Act 2011 removes much of the uncertainty over local authorities’ use of standalone financial derivatives (i.e. those that are not embedded into a loan or investment). The CIPFA Code requires local authorities to clearly detail their policy in the use of derivatives in the annual strategy.   The Council does not intend to use standalone financial derivatives (such as swaps, </w:t>
      </w:r>
      <w:r w:rsidRPr="00222AD2">
        <w:rPr>
          <w:rFonts w:cs="Arial"/>
          <w:szCs w:val="24"/>
          <w:lang w:eastAsia="en-GB"/>
        </w:rPr>
        <w:lastRenderedPageBreak/>
        <w:t xml:space="preserve">forwards, futures and options). No change in strategy will be made without Full Council approval.  </w:t>
      </w:r>
    </w:p>
    <w:p w14:paraId="25DACD64" w14:textId="0ED18865" w:rsidR="00222AD2" w:rsidRDefault="00222AD2" w:rsidP="00222AD2">
      <w:pPr>
        <w:autoSpaceDE w:val="0"/>
        <w:autoSpaceDN w:val="0"/>
        <w:adjustRightInd w:val="0"/>
        <w:rPr>
          <w:b/>
          <w:bCs/>
          <w:sz w:val="32"/>
          <w:szCs w:val="32"/>
          <w:lang w:eastAsia="en-GB"/>
        </w:rPr>
      </w:pPr>
    </w:p>
    <w:p w14:paraId="176A56BF" w14:textId="77777777" w:rsidR="0081234A" w:rsidRDefault="0081234A" w:rsidP="00222AD2">
      <w:pPr>
        <w:autoSpaceDE w:val="0"/>
        <w:autoSpaceDN w:val="0"/>
        <w:adjustRightInd w:val="0"/>
        <w:rPr>
          <w:b/>
          <w:bCs/>
          <w:sz w:val="32"/>
          <w:szCs w:val="32"/>
          <w:lang w:eastAsia="en-GB"/>
        </w:rPr>
      </w:pPr>
    </w:p>
    <w:p w14:paraId="52D07C86" w14:textId="77C66D16" w:rsidR="00222AD2" w:rsidRPr="00222AD2" w:rsidRDefault="00222AD2" w:rsidP="00222AD2">
      <w:pPr>
        <w:autoSpaceDE w:val="0"/>
        <w:autoSpaceDN w:val="0"/>
        <w:adjustRightInd w:val="0"/>
        <w:rPr>
          <w:b/>
          <w:bCs/>
          <w:szCs w:val="24"/>
          <w:lang w:eastAsia="en-GB"/>
        </w:rPr>
      </w:pPr>
      <w:r w:rsidRPr="00222AD2">
        <w:rPr>
          <w:b/>
          <w:bCs/>
          <w:szCs w:val="24"/>
          <w:lang w:eastAsia="en-GB"/>
        </w:rPr>
        <w:t>Brokers</w:t>
      </w:r>
    </w:p>
    <w:p w14:paraId="07D4CE91" w14:textId="77777777" w:rsidR="004E1FB4" w:rsidRDefault="004E1FB4" w:rsidP="00222AD2">
      <w:pPr>
        <w:pStyle w:val="ListParagraph"/>
        <w:ind w:left="709"/>
        <w:jc w:val="both"/>
        <w:rPr>
          <w:rFonts w:cs="Arial"/>
          <w:szCs w:val="24"/>
          <w:lang w:eastAsia="en-GB"/>
        </w:rPr>
      </w:pPr>
    </w:p>
    <w:p w14:paraId="3B55C126" w14:textId="77777777" w:rsidR="00222AD2" w:rsidRPr="00222AD2" w:rsidRDefault="00222AD2" w:rsidP="008E3E63">
      <w:pPr>
        <w:pStyle w:val="ListParagraph"/>
        <w:numPr>
          <w:ilvl w:val="1"/>
          <w:numId w:val="16"/>
        </w:numPr>
        <w:ind w:left="709" w:hanging="709"/>
        <w:jc w:val="both"/>
        <w:rPr>
          <w:rFonts w:cs="Arial"/>
          <w:szCs w:val="24"/>
          <w:lang w:eastAsia="en-GB"/>
        </w:rPr>
      </w:pPr>
      <w:r w:rsidRPr="00222AD2">
        <w:rPr>
          <w:rFonts w:cs="Arial"/>
          <w:szCs w:val="24"/>
          <w:lang w:eastAsia="en-GB"/>
        </w:rPr>
        <w:t xml:space="preserve">The Council uses four brokers on a regular basis, as well as dealing directly with leading institutions. Wherever possible the Council will spread its business amongst them on a regular basis, though this may not always be possible. Brokers currently being used are:   </w:t>
      </w:r>
    </w:p>
    <w:p w14:paraId="63DFAEF0" w14:textId="77777777" w:rsidR="00222AD2" w:rsidRPr="00014D60" w:rsidRDefault="00222AD2" w:rsidP="00222AD2">
      <w:pPr>
        <w:pStyle w:val="ListParagraph"/>
        <w:numPr>
          <w:ilvl w:val="1"/>
          <w:numId w:val="12"/>
        </w:numPr>
        <w:ind w:left="1080"/>
        <w:jc w:val="both"/>
        <w:rPr>
          <w:rFonts w:cs="Arial"/>
          <w:bCs/>
          <w:color w:val="0D0D0D" w:themeColor="text1" w:themeTint="F2"/>
        </w:rPr>
      </w:pPr>
      <w:r w:rsidRPr="00014D60">
        <w:rPr>
          <w:rFonts w:cs="Arial"/>
          <w:bCs/>
          <w:color w:val="0D0D0D" w:themeColor="text1" w:themeTint="F2"/>
        </w:rPr>
        <w:t xml:space="preserve">RP Martins  </w:t>
      </w:r>
    </w:p>
    <w:p w14:paraId="174708C1" w14:textId="77777777" w:rsidR="00222AD2" w:rsidRPr="00014D60" w:rsidRDefault="00222AD2" w:rsidP="00222AD2">
      <w:pPr>
        <w:pStyle w:val="ListParagraph"/>
        <w:numPr>
          <w:ilvl w:val="1"/>
          <w:numId w:val="12"/>
        </w:numPr>
        <w:ind w:left="1080"/>
        <w:jc w:val="both"/>
        <w:rPr>
          <w:rFonts w:cs="Arial"/>
          <w:bCs/>
          <w:color w:val="0D0D0D" w:themeColor="text1" w:themeTint="F2"/>
        </w:rPr>
      </w:pPr>
      <w:r w:rsidRPr="00014D60">
        <w:rPr>
          <w:rFonts w:cs="Arial"/>
          <w:bCs/>
          <w:color w:val="0D0D0D" w:themeColor="text1" w:themeTint="F2"/>
        </w:rPr>
        <w:t xml:space="preserve">Tradition  </w:t>
      </w:r>
    </w:p>
    <w:p w14:paraId="1B27863E" w14:textId="77777777" w:rsidR="00222AD2" w:rsidRPr="00014D60" w:rsidRDefault="00222AD2" w:rsidP="00222AD2">
      <w:pPr>
        <w:pStyle w:val="ListParagraph"/>
        <w:numPr>
          <w:ilvl w:val="1"/>
          <w:numId w:val="12"/>
        </w:numPr>
        <w:ind w:left="1080"/>
        <w:jc w:val="both"/>
        <w:rPr>
          <w:rFonts w:cs="Arial"/>
          <w:bCs/>
          <w:color w:val="0D0D0D" w:themeColor="text1" w:themeTint="F2"/>
        </w:rPr>
      </w:pPr>
      <w:r w:rsidRPr="00014D60">
        <w:rPr>
          <w:rFonts w:cs="Arial"/>
          <w:bCs/>
          <w:color w:val="0D0D0D" w:themeColor="text1" w:themeTint="F2"/>
        </w:rPr>
        <w:t>BGC Sterling</w:t>
      </w:r>
    </w:p>
    <w:p w14:paraId="5655BFDB" w14:textId="0050BA34" w:rsidR="00222AD2" w:rsidRPr="00014D60" w:rsidRDefault="00222AD2" w:rsidP="00222AD2">
      <w:pPr>
        <w:pStyle w:val="ListParagraph"/>
        <w:numPr>
          <w:ilvl w:val="1"/>
          <w:numId w:val="12"/>
        </w:numPr>
        <w:ind w:left="1080"/>
        <w:jc w:val="both"/>
        <w:rPr>
          <w:rFonts w:cs="Arial"/>
          <w:bCs/>
          <w:color w:val="0D0D0D" w:themeColor="text1" w:themeTint="F2"/>
        </w:rPr>
      </w:pPr>
      <w:r w:rsidRPr="00014D60">
        <w:rPr>
          <w:rFonts w:cs="Arial"/>
          <w:bCs/>
          <w:color w:val="0D0D0D" w:themeColor="text1" w:themeTint="F2"/>
        </w:rPr>
        <w:t xml:space="preserve">Imperial Treasury </w:t>
      </w:r>
    </w:p>
    <w:p w14:paraId="340415B0" w14:textId="1A9CD7EA" w:rsidR="00FF0CF3" w:rsidRDefault="00FF0CF3" w:rsidP="00FF0CF3">
      <w:pPr>
        <w:ind w:left="720"/>
        <w:jc w:val="both"/>
        <w:rPr>
          <w:rFonts w:cs="Arial"/>
          <w:bCs/>
          <w:color w:val="0D0D0D" w:themeColor="text1" w:themeTint="F2"/>
          <w:highlight w:val="yellow"/>
        </w:rPr>
      </w:pPr>
    </w:p>
    <w:p w14:paraId="59F835E6" w14:textId="29C7DD33" w:rsidR="00222AD2" w:rsidRDefault="00222AD2" w:rsidP="008E3E63">
      <w:pPr>
        <w:pStyle w:val="ListParagraph"/>
        <w:numPr>
          <w:ilvl w:val="1"/>
          <w:numId w:val="16"/>
        </w:numPr>
        <w:ind w:left="709" w:hanging="709"/>
        <w:jc w:val="both"/>
        <w:rPr>
          <w:rFonts w:cs="Arial"/>
          <w:szCs w:val="24"/>
          <w:lang w:eastAsia="en-GB"/>
        </w:rPr>
      </w:pPr>
      <w:r w:rsidRPr="00222AD2">
        <w:rPr>
          <w:rFonts w:cs="Arial"/>
          <w:szCs w:val="24"/>
          <w:lang w:eastAsia="en-GB"/>
        </w:rPr>
        <w:t>The limited function performed by brokers is acknowledged; however the Council would expect to be informed if a broker had any doubts about an organisation that we were dealing with.</w:t>
      </w:r>
    </w:p>
    <w:p w14:paraId="737DBDD9" w14:textId="3E6C27FF" w:rsidR="00222AD2" w:rsidRDefault="00222AD2" w:rsidP="00222AD2">
      <w:pPr>
        <w:jc w:val="both"/>
        <w:rPr>
          <w:rFonts w:cs="Arial"/>
          <w:szCs w:val="24"/>
          <w:lang w:eastAsia="en-GB"/>
        </w:rPr>
      </w:pPr>
    </w:p>
    <w:p w14:paraId="678FCB2D" w14:textId="6510F5C7" w:rsidR="00222AD2" w:rsidRDefault="00222AD2" w:rsidP="00222AD2">
      <w:pPr>
        <w:jc w:val="both"/>
        <w:rPr>
          <w:rFonts w:cs="Arial"/>
          <w:b/>
          <w:bCs/>
          <w:szCs w:val="24"/>
          <w:lang w:eastAsia="en-GB"/>
        </w:rPr>
      </w:pPr>
      <w:r w:rsidRPr="00222AD2">
        <w:rPr>
          <w:rFonts w:cs="Arial"/>
          <w:b/>
          <w:bCs/>
          <w:szCs w:val="24"/>
          <w:lang w:eastAsia="en-GB"/>
        </w:rPr>
        <w:t>Training</w:t>
      </w:r>
    </w:p>
    <w:p w14:paraId="56B1BA78" w14:textId="77777777" w:rsidR="00222AD2" w:rsidRPr="00222AD2" w:rsidRDefault="00222AD2" w:rsidP="00222AD2">
      <w:pPr>
        <w:jc w:val="both"/>
        <w:rPr>
          <w:rFonts w:cs="Arial"/>
          <w:b/>
          <w:bCs/>
          <w:szCs w:val="24"/>
          <w:lang w:eastAsia="en-GB"/>
        </w:rPr>
      </w:pPr>
    </w:p>
    <w:p w14:paraId="12726367" w14:textId="77777777" w:rsidR="00222AD2" w:rsidRPr="00222AD2" w:rsidRDefault="00222AD2" w:rsidP="008E3E63">
      <w:pPr>
        <w:pStyle w:val="ListParagraph"/>
        <w:numPr>
          <w:ilvl w:val="1"/>
          <w:numId w:val="16"/>
        </w:numPr>
        <w:ind w:left="709" w:hanging="709"/>
        <w:jc w:val="both"/>
        <w:rPr>
          <w:rFonts w:cs="Arial"/>
          <w:szCs w:val="24"/>
          <w:lang w:eastAsia="en-GB"/>
        </w:rPr>
      </w:pPr>
      <w:r w:rsidRPr="00222AD2">
        <w:rPr>
          <w:rFonts w:cs="Arial"/>
          <w:szCs w:val="24"/>
          <w:lang w:eastAsia="en-GB"/>
        </w:rPr>
        <w:t xml:space="preserve">The Treasury Management Code requires the responsible officer to ensure that Members with responsibility for treasury management receive adequate training in this area. This especially applies to Members responsible for scrutiny.  </w:t>
      </w:r>
    </w:p>
    <w:p w14:paraId="495C2907" w14:textId="77777777" w:rsidR="00222AD2" w:rsidRPr="00222AD2" w:rsidRDefault="00222AD2" w:rsidP="00222AD2">
      <w:pPr>
        <w:jc w:val="both"/>
        <w:rPr>
          <w:rFonts w:cs="Arial"/>
          <w:szCs w:val="24"/>
          <w:lang w:eastAsia="en-GB"/>
        </w:rPr>
      </w:pPr>
      <w:r w:rsidRPr="00222AD2">
        <w:rPr>
          <w:rFonts w:cs="Arial"/>
          <w:szCs w:val="24"/>
          <w:lang w:eastAsia="en-GB"/>
        </w:rPr>
        <w:t xml:space="preserve"> </w:t>
      </w:r>
    </w:p>
    <w:p w14:paraId="6F9EDDBD" w14:textId="1C578991" w:rsidR="00222AD2" w:rsidRDefault="00222AD2" w:rsidP="008E3E63">
      <w:pPr>
        <w:pStyle w:val="ListParagraph"/>
        <w:numPr>
          <w:ilvl w:val="1"/>
          <w:numId w:val="16"/>
        </w:numPr>
        <w:ind w:left="709" w:hanging="709"/>
        <w:jc w:val="both"/>
        <w:rPr>
          <w:rFonts w:cs="Arial"/>
          <w:szCs w:val="24"/>
          <w:lang w:eastAsia="en-GB"/>
        </w:rPr>
      </w:pPr>
      <w:r w:rsidRPr="00222AD2">
        <w:rPr>
          <w:rFonts w:cs="Arial"/>
          <w:szCs w:val="24"/>
          <w:lang w:eastAsia="en-GB"/>
        </w:rPr>
        <w:t>The training needs of Treasury Management officers are periodically reviewed as part of the Learning and Development programme with appropriate training and support provided.</w:t>
      </w:r>
    </w:p>
    <w:p w14:paraId="65453A7E" w14:textId="77777777" w:rsidR="00222AD2" w:rsidRPr="00222AD2" w:rsidRDefault="00222AD2" w:rsidP="00222AD2">
      <w:pPr>
        <w:jc w:val="both"/>
        <w:rPr>
          <w:rFonts w:cs="Arial"/>
          <w:szCs w:val="24"/>
          <w:lang w:eastAsia="en-GB"/>
        </w:rPr>
      </w:pPr>
    </w:p>
    <w:p w14:paraId="3CAD8097" w14:textId="32343E8B" w:rsidR="00222AD2" w:rsidRDefault="00222AD2" w:rsidP="00222AD2">
      <w:pPr>
        <w:jc w:val="both"/>
        <w:rPr>
          <w:rFonts w:cs="Arial"/>
          <w:b/>
          <w:bCs/>
          <w:szCs w:val="24"/>
          <w:lang w:eastAsia="en-GB"/>
        </w:rPr>
      </w:pPr>
      <w:r w:rsidRPr="00222AD2">
        <w:rPr>
          <w:rFonts w:cs="Arial"/>
          <w:b/>
          <w:bCs/>
          <w:szCs w:val="24"/>
          <w:lang w:eastAsia="en-GB"/>
        </w:rPr>
        <w:t>External Advisors</w:t>
      </w:r>
    </w:p>
    <w:p w14:paraId="195015D8" w14:textId="77777777" w:rsidR="00222AD2" w:rsidRPr="00222AD2" w:rsidRDefault="00222AD2" w:rsidP="00222AD2">
      <w:pPr>
        <w:jc w:val="both"/>
        <w:rPr>
          <w:rFonts w:cs="Arial"/>
          <w:b/>
          <w:bCs/>
          <w:szCs w:val="24"/>
          <w:lang w:eastAsia="en-GB"/>
        </w:rPr>
      </w:pPr>
    </w:p>
    <w:p w14:paraId="672AEE1B" w14:textId="77777777" w:rsidR="00222AD2" w:rsidRPr="00222AD2" w:rsidRDefault="00222AD2" w:rsidP="008E3E63">
      <w:pPr>
        <w:pStyle w:val="ListParagraph"/>
        <w:numPr>
          <w:ilvl w:val="1"/>
          <w:numId w:val="16"/>
        </w:numPr>
        <w:ind w:left="709" w:hanging="709"/>
        <w:jc w:val="both"/>
        <w:rPr>
          <w:rFonts w:cs="Arial"/>
          <w:szCs w:val="24"/>
          <w:lang w:eastAsia="en-GB"/>
        </w:rPr>
      </w:pPr>
      <w:r w:rsidRPr="00222AD2">
        <w:rPr>
          <w:rFonts w:cs="Arial"/>
          <w:szCs w:val="24"/>
          <w:lang w:eastAsia="en-GB"/>
        </w:rPr>
        <w:t xml:space="preserve">The Council has engaged Link Asset Services Treasury Solutions as its external Treasury Management Adviser. </w:t>
      </w:r>
    </w:p>
    <w:p w14:paraId="1ECE3339" w14:textId="4A5ED4F1" w:rsidR="00222AD2" w:rsidRDefault="00222AD2" w:rsidP="00222AD2">
      <w:pPr>
        <w:pStyle w:val="ListParagraph"/>
        <w:ind w:left="709"/>
        <w:jc w:val="both"/>
        <w:rPr>
          <w:rFonts w:cs="Arial"/>
          <w:szCs w:val="24"/>
          <w:lang w:eastAsia="en-GB"/>
        </w:rPr>
      </w:pPr>
    </w:p>
    <w:p w14:paraId="56C6B7A0" w14:textId="2B71C7C6" w:rsidR="00222AD2" w:rsidRPr="00222AD2" w:rsidRDefault="00222AD2" w:rsidP="008E3E63">
      <w:pPr>
        <w:pStyle w:val="ListParagraph"/>
        <w:numPr>
          <w:ilvl w:val="1"/>
          <w:numId w:val="16"/>
        </w:numPr>
        <w:ind w:left="709" w:hanging="709"/>
        <w:jc w:val="both"/>
        <w:rPr>
          <w:rFonts w:cs="Arial"/>
          <w:szCs w:val="24"/>
          <w:lang w:eastAsia="en-GB"/>
        </w:rPr>
      </w:pPr>
      <w:r w:rsidRPr="00222AD2">
        <w:rPr>
          <w:rFonts w:cs="Arial"/>
          <w:szCs w:val="24"/>
          <w:lang w:eastAsia="en-GB"/>
        </w:rPr>
        <w:t xml:space="preserve">It also recognises that there is value in employing external providers of treasury management services in order to acquire access to specialist skills and resources. The Council ensures that the terms of their appointment and the methods by which their value is assessed are properly agreed and </w:t>
      </w:r>
      <w:r w:rsidR="0081234A" w:rsidRPr="00222AD2">
        <w:rPr>
          <w:rFonts w:cs="Arial"/>
          <w:szCs w:val="24"/>
          <w:lang w:eastAsia="en-GB"/>
        </w:rPr>
        <w:t>documented and</w:t>
      </w:r>
      <w:r w:rsidRPr="00222AD2">
        <w:rPr>
          <w:rFonts w:cs="Arial"/>
          <w:szCs w:val="24"/>
          <w:lang w:eastAsia="en-GB"/>
        </w:rPr>
        <w:t xml:space="preserve"> subjected to regular review.</w:t>
      </w:r>
    </w:p>
    <w:p w14:paraId="207F4CCB" w14:textId="60BDD493" w:rsidR="00222AD2" w:rsidRPr="00222AD2" w:rsidRDefault="00222AD2" w:rsidP="00222AD2">
      <w:pPr>
        <w:pStyle w:val="ListParagraph"/>
        <w:ind w:left="709"/>
        <w:jc w:val="both"/>
        <w:rPr>
          <w:rFonts w:cs="Arial"/>
          <w:szCs w:val="24"/>
          <w:lang w:eastAsia="en-GB"/>
        </w:rPr>
      </w:pPr>
      <w:r w:rsidRPr="00222AD2">
        <w:rPr>
          <w:rFonts w:cs="Arial"/>
          <w:szCs w:val="24"/>
          <w:lang w:eastAsia="en-GB"/>
        </w:rPr>
        <w:t xml:space="preserve"> </w:t>
      </w:r>
    </w:p>
    <w:p w14:paraId="11C4AC86" w14:textId="1233A421" w:rsidR="005876C6" w:rsidRPr="0081234A" w:rsidRDefault="00222AD2" w:rsidP="0081234A">
      <w:pPr>
        <w:pStyle w:val="ListParagraph"/>
        <w:numPr>
          <w:ilvl w:val="1"/>
          <w:numId w:val="16"/>
        </w:numPr>
        <w:spacing w:before="90"/>
        <w:ind w:left="709" w:hanging="709"/>
        <w:jc w:val="both"/>
        <w:rPr>
          <w:rFonts w:cs="Arial"/>
          <w:szCs w:val="24"/>
          <w:lang w:eastAsia="en-GB"/>
        </w:rPr>
      </w:pPr>
      <w:r w:rsidRPr="0081234A">
        <w:rPr>
          <w:rFonts w:cs="Arial"/>
          <w:szCs w:val="24"/>
          <w:lang w:eastAsia="en-GB"/>
        </w:rPr>
        <w:t xml:space="preserve">However, the Council recognises that responsibility for treasury management decisions remains with itself at all times and will ensure that undue reliance is not placed upon external service providers.  </w:t>
      </w:r>
      <w:r w:rsidR="005876C6" w:rsidRPr="0081234A">
        <w:rPr>
          <w:rFonts w:cs="Arial"/>
          <w:szCs w:val="24"/>
          <w:lang w:eastAsia="en-GB"/>
        </w:rPr>
        <w:br w:type="page"/>
      </w:r>
    </w:p>
    <w:p w14:paraId="46C3C683" w14:textId="5FA3593E" w:rsidR="002739E6" w:rsidRDefault="002739E6" w:rsidP="00EE53A1">
      <w:pPr>
        <w:jc w:val="both"/>
        <w:rPr>
          <w:b/>
          <w:sz w:val="32"/>
          <w:szCs w:val="32"/>
        </w:rPr>
      </w:pPr>
    </w:p>
    <w:p w14:paraId="18A38E92" w14:textId="77777777" w:rsidR="002739E6" w:rsidRDefault="002739E6" w:rsidP="00EE53A1">
      <w:pPr>
        <w:jc w:val="both"/>
        <w:rPr>
          <w:b/>
          <w:sz w:val="32"/>
          <w:szCs w:val="32"/>
        </w:rPr>
      </w:pPr>
    </w:p>
    <w:p w14:paraId="411B498D" w14:textId="78A27FFE" w:rsidR="00866279" w:rsidRPr="0081234A" w:rsidRDefault="0081234A" w:rsidP="0078514E">
      <w:pPr>
        <w:pStyle w:val="ListParagraph"/>
        <w:numPr>
          <w:ilvl w:val="0"/>
          <w:numId w:val="1"/>
        </w:numPr>
        <w:autoSpaceDE w:val="0"/>
        <w:autoSpaceDN w:val="0"/>
        <w:adjustRightInd w:val="0"/>
        <w:rPr>
          <w:b/>
          <w:sz w:val="28"/>
          <w:szCs w:val="28"/>
        </w:rPr>
      </w:pPr>
      <w:r w:rsidRPr="0081234A">
        <w:rPr>
          <w:b/>
          <w:sz w:val="28"/>
          <w:szCs w:val="28"/>
        </w:rPr>
        <w:t xml:space="preserve">Implications </w:t>
      </w:r>
      <w:r>
        <w:rPr>
          <w:b/>
          <w:sz w:val="28"/>
          <w:szCs w:val="28"/>
        </w:rPr>
        <w:t xml:space="preserve">of the </w:t>
      </w:r>
      <w:r w:rsidRPr="0081234A">
        <w:rPr>
          <w:b/>
          <w:sz w:val="28"/>
          <w:szCs w:val="28"/>
        </w:rPr>
        <w:t>Recommendations</w:t>
      </w:r>
    </w:p>
    <w:p w14:paraId="4EE17AE4" w14:textId="77777777" w:rsidR="00641831" w:rsidRPr="00644A6C" w:rsidRDefault="00641831" w:rsidP="00866279">
      <w:pPr>
        <w:ind w:left="567" w:hanging="567"/>
        <w:jc w:val="both"/>
      </w:pPr>
    </w:p>
    <w:p w14:paraId="7946DADC" w14:textId="77777777" w:rsidR="00C33C39" w:rsidRPr="00644A6C" w:rsidRDefault="0078514E" w:rsidP="008E3E63">
      <w:pPr>
        <w:pStyle w:val="ListParagraph"/>
        <w:numPr>
          <w:ilvl w:val="1"/>
          <w:numId w:val="17"/>
        </w:numPr>
        <w:ind w:left="709" w:hanging="709"/>
        <w:jc w:val="both"/>
        <w:rPr>
          <w:rFonts w:cs="Arial"/>
          <w:szCs w:val="24"/>
          <w:lang w:eastAsia="en-GB"/>
        </w:rPr>
      </w:pPr>
      <w:r w:rsidRPr="00644A6C">
        <w:rPr>
          <w:rFonts w:cs="Arial"/>
          <w:szCs w:val="24"/>
          <w:lang w:eastAsia="en-GB"/>
        </w:rPr>
        <w:t>The recommendations primarily relate to the requirements for the Council to comply with statutory duties. However, the content of the report, covering borrowing and investment strategy, has implications for the Council’s ability to fund its capital projects and revenue activities.</w:t>
      </w:r>
    </w:p>
    <w:p w14:paraId="63635EFB" w14:textId="77777777" w:rsidR="000364D2" w:rsidRPr="00644A6C" w:rsidRDefault="000364D2" w:rsidP="00866279">
      <w:pPr>
        <w:jc w:val="both"/>
        <w:rPr>
          <w:b/>
          <w:sz w:val="32"/>
          <w:szCs w:val="32"/>
        </w:rPr>
      </w:pPr>
    </w:p>
    <w:p w14:paraId="763F9DEB" w14:textId="19513838" w:rsidR="00866279" w:rsidRPr="00887A59" w:rsidRDefault="0081234A" w:rsidP="004E1FB4">
      <w:pPr>
        <w:pStyle w:val="ListParagraph"/>
        <w:numPr>
          <w:ilvl w:val="0"/>
          <w:numId w:val="1"/>
        </w:numPr>
        <w:ind w:left="709" w:hanging="709"/>
        <w:jc w:val="both"/>
        <w:rPr>
          <w:b/>
          <w:sz w:val="28"/>
          <w:szCs w:val="28"/>
        </w:rPr>
      </w:pPr>
      <w:r w:rsidRPr="00887A59">
        <w:rPr>
          <w:b/>
          <w:sz w:val="28"/>
          <w:szCs w:val="28"/>
        </w:rPr>
        <w:t>Procurement Implications</w:t>
      </w:r>
    </w:p>
    <w:p w14:paraId="019A3F4E" w14:textId="77777777" w:rsidR="00866279" w:rsidRPr="00887A59" w:rsidRDefault="00866279" w:rsidP="00866279">
      <w:pPr>
        <w:jc w:val="both"/>
        <w:rPr>
          <w:rFonts w:cs="Arial"/>
          <w:sz w:val="22"/>
          <w:szCs w:val="22"/>
        </w:rPr>
      </w:pPr>
    </w:p>
    <w:p w14:paraId="51B77A9D" w14:textId="6F22D8C8" w:rsidR="00C33C39" w:rsidRPr="00644A6C" w:rsidRDefault="00866279" w:rsidP="008E3E63">
      <w:pPr>
        <w:pStyle w:val="ListParagraph"/>
        <w:numPr>
          <w:ilvl w:val="1"/>
          <w:numId w:val="18"/>
        </w:numPr>
        <w:ind w:left="709" w:hanging="709"/>
        <w:jc w:val="both"/>
        <w:rPr>
          <w:rFonts w:cs="Arial"/>
          <w:szCs w:val="24"/>
          <w:lang w:eastAsia="en-GB"/>
        </w:rPr>
      </w:pPr>
      <w:r w:rsidRPr="00644A6C">
        <w:rPr>
          <w:rFonts w:cs="Arial"/>
          <w:szCs w:val="24"/>
          <w:lang w:eastAsia="en-GB"/>
        </w:rPr>
        <w:t>There are no procurement implications arising from this report.</w:t>
      </w:r>
    </w:p>
    <w:p w14:paraId="02FC255B" w14:textId="77777777" w:rsidR="00013A0A" w:rsidRPr="00644A6C" w:rsidRDefault="00013A0A" w:rsidP="00013A0A">
      <w:pPr>
        <w:pStyle w:val="ListParagraph"/>
        <w:ind w:left="709"/>
        <w:jc w:val="both"/>
        <w:rPr>
          <w:rFonts w:cs="Arial"/>
          <w:szCs w:val="24"/>
          <w:lang w:eastAsia="en-GB"/>
        </w:rPr>
      </w:pPr>
    </w:p>
    <w:p w14:paraId="2247E24F" w14:textId="3256DD39" w:rsidR="00866279" w:rsidRPr="0081234A" w:rsidRDefault="0081234A" w:rsidP="004E1FB4">
      <w:pPr>
        <w:pStyle w:val="ListParagraph"/>
        <w:numPr>
          <w:ilvl w:val="0"/>
          <w:numId w:val="1"/>
        </w:numPr>
        <w:ind w:left="709" w:hanging="709"/>
        <w:jc w:val="both"/>
        <w:rPr>
          <w:b/>
          <w:sz w:val="28"/>
          <w:szCs w:val="28"/>
        </w:rPr>
      </w:pPr>
      <w:r w:rsidRPr="0081234A">
        <w:rPr>
          <w:b/>
          <w:sz w:val="28"/>
          <w:szCs w:val="28"/>
        </w:rPr>
        <w:t>Legal Implications</w:t>
      </w:r>
    </w:p>
    <w:p w14:paraId="3AC1BAFE" w14:textId="77777777" w:rsidR="00866279" w:rsidRPr="00644A6C" w:rsidRDefault="00866279" w:rsidP="00866279">
      <w:pPr>
        <w:jc w:val="both"/>
        <w:rPr>
          <w:rFonts w:cs="Arial"/>
          <w:szCs w:val="24"/>
        </w:rPr>
      </w:pPr>
    </w:p>
    <w:p w14:paraId="425A8927" w14:textId="4B3C964A" w:rsidR="00C33C39" w:rsidRPr="00644A6C" w:rsidRDefault="00A910B6" w:rsidP="008E3E63">
      <w:pPr>
        <w:pStyle w:val="ListParagraph"/>
        <w:numPr>
          <w:ilvl w:val="1"/>
          <w:numId w:val="19"/>
        </w:numPr>
        <w:ind w:left="709" w:hanging="709"/>
        <w:jc w:val="both"/>
        <w:rPr>
          <w:rFonts w:cs="Arial"/>
          <w:szCs w:val="24"/>
          <w:lang w:eastAsia="en-GB"/>
        </w:rPr>
      </w:pPr>
      <w:r w:rsidRPr="00644A6C">
        <w:rPr>
          <w:rFonts w:cs="Arial"/>
          <w:szCs w:val="24"/>
          <w:lang w:eastAsia="en-GB"/>
        </w:rPr>
        <w:t>The</w:t>
      </w:r>
      <w:r w:rsidR="00CA5F6E" w:rsidRPr="00644A6C">
        <w:rPr>
          <w:rFonts w:cs="Arial"/>
          <w:szCs w:val="24"/>
          <w:lang w:eastAsia="en-GB"/>
        </w:rPr>
        <w:t xml:space="preserve"> Local Government Act 2003 requires the Council to ‘have regard to’ the Prudential Code and to set Prudential Indicators for the next three years to ensure that the Council’s capital investment plans are affordable, prudent and sustainable. These are contained within this report.  The Act requires the Council to set out its treasury strategy for borrowing and to prepare an Annual Investment Strategy. This sets out the Council’s policies for managing its investments and for giving priority to the security and liquidity of those investments. This report assists the Council in fulfilling its statutory obligation under the Local Government Act 2003 to monitor its borrowing and investment activities.</w:t>
      </w:r>
    </w:p>
    <w:p w14:paraId="7767A0F2" w14:textId="77777777" w:rsidR="00CA5F6E" w:rsidRPr="00644A6C" w:rsidRDefault="00CA5F6E" w:rsidP="00CA5F6E">
      <w:pPr>
        <w:ind w:left="561" w:hanging="561"/>
        <w:jc w:val="both"/>
        <w:rPr>
          <w:rFonts w:cs="Tahoma"/>
          <w:szCs w:val="16"/>
        </w:rPr>
      </w:pPr>
    </w:p>
    <w:p w14:paraId="5D966E28" w14:textId="2486DA4C" w:rsidR="00866279" w:rsidRPr="0081234A" w:rsidRDefault="0081234A" w:rsidP="004E1FB4">
      <w:pPr>
        <w:pStyle w:val="ListParagraph"/>
        <w:numPr>
          <w:ilvl w:val="0"/>
          <w:numId w:val="1"/>
        </w:numPr>
        <w:autoSpaceDE w:val="0"/>
        <w:autoSpaceDN w:val="0"/>
        <w:adjustRightInd w:val="0"/>
        <w:ind w:left="709" w:hanging="709"/>
        <w:rPr>
          <w:sz w:val="28"/>
          <w:szCs w:val="28"/>
        </w:rPr>
      </w:pPr>
      <w:r w:rsidRPr="0081234A">
        <w:rPr>
          <w:b/>
          <w:sz w:val="28"/>
          <w:szCs w:val="28"/>
        </w:rPr>
        <w:t>Financial Implications</w:t>
      </w:r>
    </w:p>
    <w:p w14:paraId="6F0CD350" w14:textId="77777777" w:rsidR="00866279" w:rsidRPr="00644A6C" w:rsidRDefault="00866279" w:rsidP="00866279">
      <w:pPr>
        <w:jc w:val="both"/>
        <w:rPr>
          <w:rFonts w:cs="Arial"/>
          <w:szCs w:val="24"/>
        </w:rPr>
      </w:pPr>
    </w:p>
    <w:p w14:paraId="0D6082D6" w14:textId="77777777" w:rsidR="00644A6C" w:rsidRPr="00644A6C" w:rsidRDefault="00866279" w:rsidP="001813C8">
      <w:pPr>
        <w:pStyle w:val="ListParagraph"/>
        <w:autoSpaceDE w:val="0"/>
        <w:autoSpaceDN w:val="0"/>
        <w:adjustRightInd w:val="0"/>
        <w:ind w:left="709"/>
        <w:jc w:val="both"/>
        <w:rPr>
          <w:b/>
          <w:szCs w:val="24"/>
        </w:rPr>
      </w:pPr>
      <w:r w:rsidRPr="00644A6C">
        <w:rPr>
          <w:rFonts w:cs="Arial"/>
          <w:szCs w:val="24"/>
          <w:lang w:eastAsia="en-GB"/>
        </w:rPr>
        <w:t xml:space="preserve">In addition to supporting the Council’s revenue and capital programmes the Treasury Management </w:t>
      </w:r>
      <w:r w:rsidR="00CA5F6E" w:rsidRPr="00644A6C">
        <w:rPr>
          <w:rFonts w:cs="Arial"/>
          <w:szCs w:val="24"/>
          <w:lang w:eastAsia="en-GB"/>
        </w:rPr>
        <w:t>interest</w:t>
      </w:r>
      <w:r w:rsidRPr="00644A6C">
        <w:rPr>
          <w:rFonts w:cs="Arial"/>
          <w:szCs w:val="24"/>
          <w:lang w:eastAsia="en-GB"/>
        </w:rPr>
        <w:t xml:space="preserve"> budget is an important part of the </w:t>
      </w:r>
      <w:r w:rsidR="007B0B8D" w:rsidRPr="00644A6C">
        <w:rPr>
          <w:rFonts w:cs="Arial"/>
          <w:szCs w:val="24"/>
          <w:lang w:eastAsia="en-GB"/>
        </w:rPr>
        <w:t>revenue budget</w:t>
      </w:r>
      <w:r w:rsidRPr="00644A6C">
        <w:rPr>
          <w:rFonts w:cs="Arial"/>
          <w:szCs w:val="24"/>
          <w:lang w:eastAsia="en-GB"/>
        </w:rPr>
        <w:t xml:space="preserve">. Any savings achieved, or overspends incurred, have a direct impact on the </w:t>
      </w:r>
      <w:r w:rsidR="008530B2" w:rsidRPr="00644A6C">
        <w:rPr>
          <w:rFonts w:cs="Arial"/>
          <w:szCs w:val="24"/>
          <w:lang w:eastAsia="en-GB"/>
        </w:rPr>
        <w:t>financial performance of the</w:t>
      </w:r>
      <w:r w:rsidRPr="00644A6C">
        <w:rPr>
          <w:rFonts w:cs="Arial"/>
          <w:szCs w:val="24"/>
          <w:lang w:eastAsia="en-GB"/>
        </w:rPr>
        <w:t xml:space="preserve"> budget. </w:t>
      </w:r>
    </w:p>
    <w:p w14:paraId="4A880A15" w14:textId="77777777" w:rsidR="00644A6C" w:rsidRPr="00644A6C" w:rsidRDefault="00644A6C" w:rsidP="00644A6C">
      <w:pPr>
        <w:pStyle w:val="ListParagraph"/>
        <w:rPr>
          <w:b/>
          <w:sz w:val="32"/>
          <w:szCs w:val="32"/>
        </w:rPr>
      </w:pPr>
    </w:p>
    <w:p w14:paraId="68A128D6" w14:textId="7B185B72" w:rsidR="00866279" w:rsidRPr="0081234A" w:rsidRDefault="0081234A" w:rsidP="00BF7865">
      <w:pPr>
        <w:pStyle w:val="ListParagraph"/>
        <w:numPr>
          <w:ilvl w:val="0"/>
          <w:numId w:val="1"/>
        </w:numPr>
        <w:autoSpaceDE w:val="0"/>
        <w:autoSpaceDN w:val="0"/>
        <w:adjustRightInd w:val="0"/>
        <w:ind w:left="709" w:hanging="709"/>
        <w:jc w:val="both"/>
        <w:rPr>
          <w:b/>
          <w:sz w:val="22"/>
          <w:szCs w:val="22"/>
        </w:rPr>
      </w:pPr>
      <w:r w:rsidRPr="0081234A">
        <w:rPr>
          <w:b/>
          <w:sz w:val="28"/>
          <w:szCs w:val="28"/>
        </w:rPr>
        <w:t>Performance Issues</w:t>
      </w:r>
      <w:r w:rsidRPr="0081234A">
        <w:rPr>
          <w:b/>
          <w:sz w:val="22"/>
          <w:szCs w:val="22"/>
        </w:rPr>
        <w:t xml:space="preserve"> </w:t>
      </w:r>
    </w:p>
    <w:p w14:paraId="09A8899D" w14:textId="77777777" w:rsidR="00866279" w:rsidRPr="00644A6C" w:rsidRDefault="00866279" w:rsidP="005876C6">
      <w:pPr>
        <w:jc w:val="both"/>
        <w:rPr>
          <w:rFonts w:cs="Tahoma"/>
          <w:szCs w:val="16"/>
        </w:rPr>
      </w:pPr>
    </w:p>
    <w:p w14:paraId="00A62569" w14:textId="61514B1C" w:rsidR="00013A0A" w:rsidRDefault="00866279" w:rsidP="008E3E63">
      <w:pPr>
        <w:pStyle w:val="ListParagraph"/>
        <w:numPr>
          <w:ilvl w:val="1"/>
          <w:numId w:val="21"/>
        </w:numPr>
        <w:ind w:left="709" w:hanging="709"/>
        <w:jc w:val="both"/>
        <w:rPr>
          <w:rFonts w:cs="Arial"/>
          <w:szCs w:val="24"/>
          <w:lang w:eastAsia="en-GB"/>
        </w:rPr>
      </w:pPr>
      <w:r w:rsidRPr="00644A6C">
        <w:rPr>
          <w:rFonts w:cs="Arial"/>
          <w:szCs w:val="24"/>
          <w:lang w:eastAsia="en-GB"/>
        </w:rPr>
        <w:t>The Council meets the requirements of the CIPFA Code of Practice for Treasury Management and therefore is able to demonstrate best practices for the Treasury Management function.</w:t>
      </w:r>
    </w:p>
    <w:p w14:paraId="06BB5701" w14:textId="77777777" w:rsidR="00644A6C" w:rsidRPr="00644A6C" w:rsidRDefault="00644A6C" w:rsidP="00644A6C">
      <w:pPr>
        <w:pStyle w:val="ListParagraph"/>
        <w:ind w:left="709"/>
        <w:jc w:val="both"/>
        <w:rPr>
          <w:rFonts w:cs="Arial"/>
          <w:szCs w:val="24"/>
          <w:lang w:eastAsia="en-GB"/>
        </w:rPr>
      </w:pPr>
    </w:p>
    <w:p w14:paraId="5782D7BC" w14:textId="4A8A727E" w:rsidR="00644A6C" w:rsidRPr="00BF7865" w:rsidRDefault="00013A0A" w:rsidP="00BF7865">
      <w:pPr>
        <w:ind w:left="709" w:hanging="709"/>
        <w:jc w:val="both"/>
        <w:rPr>
          <w:rFonts w:cs="Arial"/>
          <w:szCs w:val="24"/>
          <w:lang w:eastAsia="en-GB"/>
        </w:rPr>
      </w:pPr>
      <w:r w:rsidRPr="00644A6C">
        <w:rPr>
          <w:rFonts w:cs="Arial"/>
          <w:szCs w:val="24"/>
          <w:lang w:eastAsia="en-GB"/>
        </w:rPr>
        <w:t xml:space="preserve">10.2 </w:t>
      </w:r>
      <w:r w:rsidRPr="00644A6C">
        <w:rPr>
          <w:rFonts w:cs="Arial"/>
          <w:szCs w:val="24"/>
          <w:lang w:eastAsia="en-GB"/>
        </w:rPr>
        <w:tab/>
      </w:r>
      <w:r w:rsidR="00866279" w:rsidRPr="00644A6C">
        <w:rPr>
          <w:rFonts w:cs="Arial"/>
          <w:szCs w:val="24"/>
          <w:lang w:eastAsia="en-GB"/>
        </w:rPr>
        <w:t xml:space="preserve">As part of the Code the Council must agree a series of prudential indicators and measure its performance against them. These indicators and performance are detailed in </w:t>
      </w:r>
      <w:r w:rsidR="00533A60" w:rsidRPr="00644A6C">
        <w:rPr>
          <w:rFonts w:cs="Arial"/>
          <w:szCs w:val="24"/>
          <w:lang w:eastAsia="en-GB"/>
        </w:rPr>
        <w:t>the report</w:t>
      </w:r>
      <w:r w:rsidR="008530B2" w:rsidRPr="00644A6C">
        <w:rPr>
          <w:rFonts w:cs="Arial"/>
          <w:szCs w:val="24"/>
          <w:lang w:eastAsia="en-GB"/>
        </w:rPr>
        <w:t xml:space="preserve"> and reported to </w:t>
      </w:r>
      <w:r w:rsidR="007B0B8D" w:rsidRPr="00644A6C">
        <w:rPr>
          <w:rFonts w:cs="Arial"/>
          <w:szCs w:val="24"/>
          <w:lang w:eastAsia="en-GB"/>
        </w:rPr>
        <w:t>Council</w:t>
      </w:r>
      <w:r w:rsidR="00866279" w:rsidRPr="00644A6C">
        <w:rPr>
          <w:rFonts w:cs="Arial"/>
          <w:szCs w:val="24"/>
          <w:lang w:eastAsia="en-GB"/>
        </w:rPr>
        <w:t xml:space="preserve"> </w:t>
      </w:r>
    </w:p>
    <w:p w14:paraId="48D15C30" w14:textId="77777777" w:rsidR="00644A6C" w:rsidRPr="00644A6C" w:rsidRDefault="00644A6C" w:rsidP="00866279">
      <w:pPr>
        <w:autoSpaceDE w:val="0"/>
        <w:autoSpaceDN w:val="0"/>
        <w:adjustRightInd w:val="0"/>
        <w:rPr>
          <w:b/>
          <w:sz w:val="32"/>
          <w:szCs w:val="32"/>
        </w:rPr>
      </w:pPr>
    </w:p>
    <w:p w14:paraId="0CE73871" w14:textId="6F9334C4" w:rsidR="00866279" w:rsidRPr="0081234A" w:rsidRDefault="0081234A" w:rsidP="004E1FB4">
      <w:pPr>
        <w:pStyle w:val="ListParagraph"/>
        <w:numPr>
          <w:ilvl w:val="0"/>
          <w:numId w:val="1"/>
        </w:numPr>
        <w:autoSpaceDE w:val="0"/>
        <w:autoSpaceDN w:val="0"/>
        <w:adjustRightInd w:val="0"/>
        <w:ind w:left="709" w:hanging="709"/>
        <w:rPr>
          <w:sz w:val="28"/>
          <w:szCs w:val="28"/>
        </w:rPr>
      </w:pPr>
      <w:r w:rsidRPr="0081234A">
        <w:rPr>
          <w:b/>
          <w:sz w:val="28"/>
          <w:szCs w:val="28"/>
        </w:rPr>
        <w:t>Environmental Impact</w:t>
      </w:r>
    </w:p>
    <w:p w14:paraId="1D6D0F36" w14:textId="77777777" w:rsidR="00866279" w:rsidRPr="00644A6C" w:rsidRDefault="00866279" w:rsidP="00866279">
      <w:pPr>
        <w:pStyle w:val="Heading2"/>
      </w:pPr>
    </w:p>
    <w:p w14:paraId="7BED3B04" w14:textId="0D7089A2" w:rsidR="00866279" w:rsidRPr="00644A6C" w:rsidRDefault="00A910B6" w:rsidP="008E3E63">
      <w:pPr>
        <w:pStyle w:val="ListParagraph"/>
        <w:numPr>
          <w:ilvl w:val="1"/>
          <w:numId w:val="22"/>
        </w:numPr>
        <w:ind w:left="709" w:hanging="709"/>
        <w:jc w:val="both"/>
        <w:rPr>
          <w:rFonts w:cs="Arial"/>
          <w:szCs w:val="24"/>
          <w:lang w:eastAsia="en-GB"/>
        </w:rPr>
      </w:pPr>
      <w:r w:rsidRPr="00644A6C">
        <w:rPr>
          <w:rFonts w:cs="Arial"/>
          <w:szCs w:val="24"/>
          <w:lang w:eastAsia="en-GB"/>
        </w:rPr>
        <w:t>There</w:t>
      </w:r>
      <w:r w:rsidR="00866279" w:rsidRPr="00644A6C">
        <w:rPr>
          <w:rFonts w:cs="Arial"/>
          <w:szCs w:val="24"/>
          <w:lang w:eastAsia="en-GB"/>
        </w:rPr>
        <w:t xml:space="preserve"> are no direct environmental impacts.</w:t>
      </w:r>
    </w:p>
    <w:p w14:paraId="56FE15B1" w14:textId="77777777" w:rsidR="00866279" w:rsidRPr="00644A6C" w:rsidRDefault="00866279" w:rsidP="00013A0A">
      <w:pPr>
        <w:pStyle w:val="ListParagraph"/>
        <w:ind w:left="709"/>
        <w:jc w:val="both"/>
        <w:rPr>
          <w:rFonts w:cs="Arial"/>
          <w:szCs w:val="24"/>
          <w:lang w:eastAsia="en-GB"/>
        </w:rPr>
      </w:pPr>
    </w:p>
    <w:p w14:paraId="60E439A0" w14:textId="582837CD" w:rsidR="00866279" w:rsidRPr="0081234A" w:rsidRDefault="0081234A" w:rsidP="004E1FB4">
      <w:pPr>
        <w:pStyle w:val="ListParagraph"/>
        <w:numPr>
          <w:ilvl w:val="0"/>
          <w:numId w:val="1"/>
        </w:numPr>
        <w:autoSpaceDE w:val="0"/>
        <w:autoSpaceDN w:val="0"/>
        <w:adjustRightInd w:val="0"/>
        <w:ind w:left="709" w:hanging="709"/>
        <w:rPr>
          <w:b/>
          <w:sz w:val="22"/>
          <w:szCs w:val="22"/>
        </w:rPr>
      </w:pPr>
      <w:r w:rsidRPr="0081234A">
        <w:rPr>
          <w:b/>
          <w:sz w:val="28"/>
          <w:szCs w:val="28"/>
        </w:rPr>
        <w:t>Risk Management Implications</w:t>
      </w:r>
    </w:p>
    <w:p w14:paraId="311241BB" w14:textId="77777777" w:rsidR="001813C8" w:rsidRDefault="001813C8" w:rsidP="001813C8">
      <w:pPr>
        <w:pStyle w:val="ListParagraph"/>
        <w:numPr>
          <w:ilvl w:val="1"/>
          <w:numId w:val="23"/>
        </w:numPr>
        <w:ind w:left="709" w:hanging="709"/>
        <w:jc w:val="both"/>
        <w:rPr>
          <w:rFonts w:cs="Arial"/>
          <w:szCs w:val="24"/>
          <w:lang w:eastAsia="en-GB"/>
        </w:rPr>
      </w:pPr>
      <w:r w:rsidRPr="00F3485E">
        <w:rPr>
          <w:rFonts w:cs="Arial"/>
          <w:szCs w:val="24"/>
          <w:lang w:eastAsia="en-GB"/>
        </w:rPr>
        <w:lastRenderedPageBreak/>
        <w:t xml:space="preserve">Risk included on </w:t>
      </w:r>
      <w:r>
        <w:rPr>
          <w:rFonts w:cs="Arial"/>
          <w:szCs w:val="24"/>
          <w:lang w:eastAsia="en-GB"/>
        </w:rPr>
        <w:t>corporate or d</w:t>
      </w:r>
      <w:r w:rsidRPr="00F3485E">
        <w:rPr>
          <w:rFonts w:cs="Arial"/>
          <w:szCs w:val="24"/>
          <w:lang w:eastAsia="en-GB"/>
        </w:rPr>
        <w:t xml:space="preserve">irectorate risk register?  </w:t>
      </w:r>
      <w:r w:rsidRPr="00F3485E">
        <w:rPr>
          <w:rFonts w:cs="Arial"/>
          <w:b/>
          <w:bCs/>
          <w:szCs w:val="24"/>
          <w:lang w:eastAsia="en-GB"/>
        </w:rPr>
        <w:t>Yes</w:t>
      </w:r>
      <w:r w:rsidRPr="00F3485E">
        <w:rPr>
          <w:rFonts w:cs="Arial"/>
          <w:szCs w:val="24"/>
          <w:lang w:eastAsia="en-GB"/>
        </w:rPr>
        <w:t xml:space="preserve">. </w:t>
      </w:r>
      <w:r w:rsidRPr="008C338E">
        <w:rPr>
          <w:rFonts w:cs="Arial"/>
          <w:szCs w:val="24"/>
          <w:lang w:eastAsia="en-GB"/>
        </w:rPr>
        <w:t xml:space="preserve">Contained on Resources Directorate risk register </w:t>
      </w:r>
      <w:r w:rsidRPr="00F3485E">
        <w:rPr>
          <w:rFonts w:cs="Arial"/>
          <w:szCs w:val="24"/>
          <w:lang w:eastAsia="en-GB"/>
        </w:rPr>
        <w:t>Risk 9: Loss of an investment/deposit</w:t>
      </w:r>
    </w:p>
    <w:p w14:paraId="24706AF1" w14:textId="77777777" w:rsidR="001813C8" w:rsidRPr="00F3485E" w:rsidRDefault="001813C8" w:rsidP="001813C8">
      <w:pPr>
        <w:jc w:val="both"/>
        <w:rPr>
          <w:rFonts w:cs="Arial"/>
          <w:szCs w:val="24"/>
          <w:lang w:eastAsia="en-GB"/>
        </w:rPr>
      </w:pPr>
    </w:p>
    <w:p w14:paraId="07C36863" w14:textId="77777777" w:rsidR="001813C8" w:rsidRPr="00F3485E" w:rsidRDefault="001813C8" w:rsidP="001813C8">
      <w:pPr>
        <w:pStyle w:val="ListParagraph"/>
        <w:numPr>
          <w:ilvl w:val="1"/>
          <w:numId w:val="23"/>
        </w:numPr>
        <w:ind w:left="709" w:hanging="709"/>
        <w:jc w:val="both"/>
        <w:rPr>
          <w:rFonts w:cs="Arial"/>
          <w:szCs w:val="24"/>
          <w:lang w:eastAsia="en-GB"/>
        </w:rPr>
      </w:pPr>
      <w:r>
        <w:rPr>
          <w:rFonts w:cs="Arial"/>
          <w:szCs w:val="24"/>
          <w:lang w:eastAsia="en-GB"/>
        </w:rPr>
        <w:t xml:space="preserve">Separate risk register in place? </w:t>
      </w:r>
      <w:r w:rsidRPr="00F3485E">
        <w:rPr>
          <w:rFonts w:cs="Arial"/>
          <w:b/>
          <w:bCs/>
          <w:szCs w:val="24"/>
          <w:lang w:eastAsia="en-GB"/>
        </w:rPr>
        <w:t>No</w:t>
      </w:r>
    </w:p>
    <w:p w14:paraId="6E88405B" w14:textId="77777777" w:rsidR="001813C8" w:rsidRPr="00F3485E" w:rsidRDefault="001813C8" w:rsidP="001813C8">
      <w:pPr>
        <w:pStyle w:val="ListParagraph"/>
        <w:rPr>
          <w:rFonts w:cs="Arial"/>
          <w:szCs w:val="24"/>
          <w:lang w:eastAsia="en-GB"/>
        </w:rPr>
      </w:pPr>
    </w:p>
    <w:p w14:paraId="7C19CB35" w14:textId="77777777" w:rsidR="001813C8" w:rsidRPr="00F3485E" w:rsidRDefault="001813C8" w:rsidP="001813C8">
      <w:pPr>
        <w:pStyle w:val="ListParagraph"/>
        <w:numPr>
          <w:ilvl w:val="1"/>
          <w:numId w:val="23"/>
        </w:numPr>
        <w:ind w:left="709" w:hanging="709"/>
        <w:jc w:val="both"/>
        <w:rPr>
          <w:rFonts w:cs="Arial"/>
          <w:szCs w:val="24"/>
          <w:lang w:eastAsia="en-GB"/>
        </w:rPr>
      </w:pPr>
      <w:r w:rsidRPr="00F3485E">
        <w:t xml:space="preserve">The relevant risks contained in the register are attached/summarised below. </w:t>
      </w:r>
      <w:r w:rsidRPr="00F3485E">
        <w:rPr>
          <w:rFonts w:cs="Arial"/>
          <w:b/>
          <w:bCs/>
          <w:szCs w:val="24"/>
          <w:lang w:val="en-US" w:eastAsia="en-GB"/>
        </w:rPr>
        <w:t>Yes/No</w:t>
      </w:r>
    </w:p>
    <w:p w14:paraId="04959CAE" w14:textId="77777777" w:rsidR="001813C8" w:rsidRPr="00F3485E" w:rsidRDefault="001813C8" w:rsidP="001813C8">
      <w:pPr>
        <w:pStyle w:val="ListParagraph"/>
        <w:rPr>
          <w:rFonts w:cs="Arial"/>
          <w:szCs w:val="24"/>
          <w:lang w:eastAsia="en-GB"/>
        </w:rPr>
      </w:pPr>
    </w:p>
    <w:p w14:paraId="7AA86C64" w14:textId="77777777" w:rsidR="001813C8" w:rsidRPr="00F3485E" w:rsidRDefault="001813C8" w:rsidP="001813C8">
      <w:pPr>
        <w:pStyle w:val="ListParagraph"/>
        <w:numPr>
          <w:ilvl w:val="1"/>
          <w:numId w:val="23"/>
        </w:numPr>
        <w:ind w:left="709" w:hanging="709"/>
        <w:jc w:val="both"/>
      </w:pPr>
      <w:r w:rsidRPr="00F3485E">
        <w:t>The following key risks should be taken onto account when agreeing the recommendations in this report:</w:t>
      </w:r>
    </w:p>
    <w:p w14:paraId="2A532679" w14:textId="77777777" w:rsidR="001813C8" w:rsidRPr="00F3485E" w:rsidRDefault="001813C8" w:rsidP="001813C8">
      <w:pPr>
        <w:suppressAutoHyphens/>
        <w:autoSpaceDN w:val="0"/>
        <w:ind w:right="141" w:hanging="567"/>
        <w:textAlignment w:val="baseline"/>
        <w:rPr>
          <w:rFonts w:cs="Arial"/>
          <w:szCs w:val="24"/>
          <w:lang w:val="en-US" w:eastAsia="en-GB"/>
        </w:rPr>
      </w:pPr>
    </w:p>
    <w:tbl>
      <w:tblPr>
        <w:tblW w:w="9639" w:type="dxa"/>
        <w:tblInd w:w="-572" w:type="dxa"/>
        <w:tblCellMar>
          <w:left w:w="10" w:type="dxa"/>
          <w:right w:w="10" w:type="dxa"/>
        </w:tblCellMar>
        <w:tblLook w:val="0000" w:firstRow="0" w:lastRow="0" w:firstColumn="0" w:lastColumn="0" w:noHBand="0" w:noVBand="0"/>
      </w:tblPr>
      <w:tblGrid>
        <w:gridCol w:w="3949"/>
        <w:gridCol w:w="4795"/>
        <w:gridCol w:w="895"/>
      </w:tblGrid>
      <w:tr w:rsidR="001813C8" w:rsidRPr="00F3485E" w14:paraId="08320E36" w14:textId="77777777" w:rsidTr="0081234A">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7CA65" w14:textId="77777777" w:rsidR="001813C8" w:rsidRPr="00F3485E" w:rsidRDefault="001813C8" w:rsidP="0081234A">
            <w:pPr>
              <w:suppressAutoHyphens/>
              <w:autoSpaceDN w:val="0"/>
              <w:ind w:right="141"/>
              <w:textAlignment w:val="baseline"/>
              <w:rPr>
                <w:rFonts w:cs="Arial"/>
                <w:b/>
                <w:bCs/>
                <w:szCs w:val="24"/>
                <w:lang w:val="en-US" w:eastAsia="en-GB"/>
              </w:rPr>
            </w:pPr>
            <w:r w:rsidRPr="00F3485E">
              <w:rPr>
                <w:rFonts w:cs="Arial"/>
                <w:b/>
                <w:bCs/>
                <w:szCs w:val="24"/>
                <w:lang w:val="en-US" w:eastAsia="en-GB"/>
              </w:rPr>
              <w:t xml:space="preserve">Risk Description </w:t>
            </w:r>
          </w:p>
        </w:tc>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C67C0" w14:textId="77777777" w:rsidR="001813C8" w:rsidRPr="00F3485E" w:rsidRDefault="001813C8" w:rsidP="0081234A">
            <w:pPr>
              <w:suppressAutoHyphens/>
              <w:autoSpaceDN w:val="0"/>
              <w:ind w:right="141"/>
              <w:textAlignment w:val="baseline"/>
              <w:rPr>
                <w:rFonts w:cs="Arial"/>
                <w:b/>
                <w:bCs/>
                <w:szCs w:val="24"/>
                <w:lang w:val="en-US" w:eastAsia="en-GB"/>
              </w:rPr>
            </w:pPr>
            <w:r w:rsidRPr="00F3485E">
              <w:rPr>
                <w:rFonts w:cs="Arial"/>
                <w:b/>
                <w:bCs/>
                <w:szCs w:val="24"/>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7C4E92B" w14:textId="77777777" w:rsidR="001813C8" w:rsidRPr="00F3485E" w:rsidRDefault="001813C8" w:rsidP="0081234A">
            <w:pPr>
              <w:suppressAutoHyphens/>
              <w:autoSpaceDN w:val="0"/>
              <w:ind w:right="141"/>
              <w:jc w:val="center"/>
              <w:textAlignment w:val="baseline"/>
              <w:rPr>
                <w:rFonts w:cs="Arial"/>
                <w:b/>
                <w:bCs/>
                <w:szCs w:val="24"/>
                <w:lang w:val="en-US" w:eastAsia="en-GB"/>
              </w:rPr>
            </w:pPr>
            <w:r w:rsidRPr="00F3485E">
              <w:rPr>
                <w:rFonts w:cs="Arial"/>
                <w:b/>
                <w:bCs/>
                <w:szCs w:val="24"/>
                <w:lang w:val="en-US" w:eastAsia="en-GB"/>
              </w:rPr>
              <w:t xml:space="preserve">RAG Status </w:t>
            </w:r>
          </w:p>
        </w:tc>
      </w:tr>
      <w:tr w:rsidR="001813C8" w:rsidRPr="00F3485E" w14:paraId="636CEC5F" w14:textId="77777777" w:rsidTr="0081234A">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7DD33" w14:textId="77777777" w:rsidR="001813C8" w:rsidRPr="00F3485E" w:rsidRDefault="001813C8" w:rsidP="0081234A">
            <w:pPr>
              <w:suppressAutoHyphens/>
              <w:autoSpaceDN w:val="0"/>
              <w:ind w:right="141"/>
              <w:textAlignment w:val="baseline"/>
              <w:rPr>
                <w:rFonts w:cs="Arial"/>
                <w:szCs w:val="24"/>
                <w:lang w:eastAsia="en-GB"/>
              </w:rPr>
            </w:pPr>
            <w:r w:rsidRPr="00F3485E">
              <w:rPr>
                <w:rFonts w:cs="Arial"/>
                <w:szCs w:val="24"/>
                <w:lang w:eastAsia="en-GB"/>
              </w:rPr>
              <w:t>Cash not available when needed</w:t>
            </w:r>
          </w:p>
          <w:p w14:paraId="5CCDAE1D" w14:textId="77777777" w:rsidR="001813C8" w:rsidRPr="00F3485E" w:rsidRDefault="001813C8" w:rsidP="0081234A">
            <w:pPr>
              <w:suppressAutoHyphens/>
              <w:autoSpaceDN w:val="0"/>
              <w:ind w:right="141"/>
              <w:textAlignment w:val="baseline"/>
              <w:rPr>
                <w:rFonts w:cs="Arial"/>
                <w:szCs w:val="24"/>
                <w:lang w:val="en-US" w:eastAsia="en-GB"/>
              </w:rPr>
            </w:pPr>
          </w:p>
        </w:tc>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D7E67" w14:textId="77777777" w:rsidR="001813C8" w:rsidRPr="00F3485E" w:rsidRDefault="001813C8" w:rsidP="001813C8">
            <w:pPr>
              <w:numPr>
                <w:ilvl w:val="0"/>
                <w:numId w:val="70"/>
              </w:numPr>
              <w:suppressAutoHyphens/>
              <w:autoSpaceDN w:val="0"/>
              <w:ind w:left="171" w:right="141" w:hanging="171"/>
              <w:textAlignment w:val="baseline"/>
              <w:rPr>
                <w:rFonts w:cs="Arial"/>
                <w:szCs w:val="24"/>
                <w:lang w:val="en-US" w:eastAsia="en-GB"/>
              </w:rPr>
            </w:pPr>
            <w:r w:rsidRPr="00C80AB9">
              <w:rPr>
                <w:rFonts w:cs="Arial"/>
                <w:szCs w:val="24"/>
                <w:lang w:eastAsia="en-GB"/>
              </w:rPr>
              <w:t xml:space="preserve">Working capital and borrowing position </w:t>
            </w:r>
            <w:r>
              <w:rPr>
                <w:rFonts w:cs="Arial"/>
                <w:szCs w:val="24"/>
                <w:lang w:eastAsia="en-GB"/>
              </w:rPr>
              <w:t xml:space="preserve">designed to </w:t>
            </w:r>
            <w:r w:rsidRPr="00C80AB9">
              <w:rPr>
                <w:rFonts w:cs="Arial"/>
                <w:szCs w:val="24"/>
                <w:lang w:eastAsia="en-GB"/>
              </w:rPr>
              <w:t>maintain the required level of cash balances</w:t>
            </w:r>
          </w:p>
          <w:p w14:paraId="0A071687" w14:textId="77777777" w:rsidR="001813C8" w:rsidRPr="00924E67" w:rsidRDefault="001813C8" w:rsidP="001813C8">
            <w:pPr>
              <w:numPr>
                <w:ilvl w:val="0"/>
                <w:numId w:val="70"/>
              </w:numPr>
              <w:suppressAutoHyphens/>
              <w:autoSpaceDN w:val="0"/>
              <w:ind w:left="171" w:right="141" w:hanging="171"/>
              <w:textAlignment w:val="baseline"/>
              <w:rPr>
                <w:rFonts w:cs="Arial"/>
                <w:szCs w:val="24"/>
                <w:lang w:val="en-US" w:eastAsia="en-GB"/>
              </w:rPr>
            </w:pPr>
            <w:r>
              <w:rPr>
                <w:rFonts w:cs="Arial"/>
                <w:szCs w:val="24"/>
                <w:lang w:eastAsia="en-GB"/>
              </w:rPr>
              <w:t>T</w:t>
            </w:r>
            <w:r w:rsidRPr="00924E67">
              <w:rPr>
                <w:rFonts w:cs="Arial"/>
                <w:szCs w:val="24"/>
                <w:lang w:eastAsia="en-GB"/>
              </w:rPr>
              <w:t>he balance of debt and investment operations ensure liquidity</w:t>
            </w:r>
          </w:p>
          <w:p w14:paraId="4CF7FC1A" w14:textId="77777777" w:rsidR="001813C8" w:rsidRPr="00F3485E" w:rsidRDefault="001813C8" w:rsidP="001813C8">
            <w:pPr>
              <w:numPr>
                <w:ilvl w:val="0"/>
                <w:numId w:val="70"/>
              </w:numPr>
              <w:suppressAutoHyphens/>
              <w:autoSpaceDN w:val="0"/>
              <w:ind w:left="171" w:right="141" w:hanging="171"/>
              <w:textAlignment w:val="baseline"/>
              <w:rPr>
                <w:rFonts w:cs="Arial"/>
                <w:szCs w:val="24"/>
                <w:lang w:val="en-US" w:eastAsia="en-GB"/>
              </w:rPr>
            </w:pPr>
            <w:r w:rsidRPr="00924E67">
              <w:rPr>
                <w:rFonts w:cs="Arial"/>
                <w:szCs w:val="24"/>
                <w:lang w:eastAsia="en-GB"/>
              </w:rPr>
              <w:t>The treasury management function ensures that the Council’s cash is organised in accordance with the relevant professional codes, so that sufficient cash is available to meet this service activity and the Council’s capital strategy</w:t>
            </w:r>
            <w:r>
              <w:rPr>
                <w:rFonts w:cs="Arial"/>
                <w:szCs w:val="24"/>
                <w:lang w:eastAsia="en-GB"/>
              </w:rPr>
              <w:t>.</w:t>
            </w: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608F6116" w14:textId="77777777" w:rsidR="001813C8" w:rsidRPr="00F3485E" w:rsidRDefault="001813C8" w:rsidP="0081234A">
            <w:pPr>
              <w:suppressAutoHyphens/>
              <w:autoSpaceDN w:val="0"/>
              <w:ind w:right="141"/>
              <w:textAlignment w:val="baseline"/>
              <w:rPr>
                <w:rFonts w:cs="Arial"/>
                <w:szCs w:val="24"/>
                <w:lang w:val="en-US" w:eastAsia="en-GB"/>
              </w:rPr>
            </w:pPr>
          </w:p>
          <w:p w14:paraId="778C7B8E" w14:textId="77777777" w:rsidR="001813C8" w:rsidRPr="00F3485E" w:rsidRDefault="001813C8" w:rsidP="0081234A">
            <w:pPr>
              <w:suppressAutoHyphens/>
              <w:autoSpaceDN w:val="0"/>
              <w:ind w:right="141"/>
              <w:textAlignment w:val="baseline"/>
              <w:rPr>
                <w:rFonts w:cs="Arial"/>
                <w:szCs w:val="24"/>
                <w:lang w:val="en-US" w:eastAsia="en-GB"/>
              </w:rPr>
            </w:pPr>
            <w:r w:rsidRPr="00F3485E">
              <w:rPr>
                <w:rFonts w:cs="Arial"/>
                <w:szCs w:val="24"/>
                <w:lang w:val="en-US" w:eastAsia="en-GB"/>
              </w:rPr>
              <w:t>Green</w:t>
            </w:r>
          </w:p>
        </w:tc>
      </w:tr>
      <w:tr w:rsidR="001813C8" w:rsidRPr="00F3485E" w14:paraId="38801F52" w14:textId="77777777" w:rsidTr="0081234A">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4E707" w14:textId="77777777" w:rsidR="001813C8" w:rsidRPr="00F3485E" w:rsidRDefault="001813C8" w:rsidP="0081234A">
            <w:pPr>
              <w:suppressAutoHyphens/>
              <w:autoSpaceDN w:val="0"/>
              <w:ind w:right="141"/>
              <w:textAlignment w:val="baseline"/>
              <w:rPr>
                <w:rFonts w:cs="Arial"/>
                <w:szCs w:val="24"/>
                <w:lang w:val="en-US" w:eastAsia="en-GB"/>
              </w:rPr>
            </w:pPr>
            <w:r w:rsidRPr="00F3485E">
              <w:rPr>
                <w:rFonts w:cs="Arial"/>
                <w:szCs w:val="24"/>
                <w:lang w:eastAsia="en-GB"/>
              </w:rPr>
              <w:t>Sums invested result in a loss</w:t>
            </w:r>
          </w:p>
        </w:tc>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FF4AD" w14:textId="77777777" w:rsidR="001813C8" w:rsidRPr="00F3485E" w:rsidRDefault="001813C8" w:rsidP="001813C8">
            <w:pPr>
              <w:numPr>
                <w:ilvl w:val="0"/>
                <w:numId w:val="70"/>
              </w:numPr>
              <w:suppressAutoHyphens/>
              <w:autoSpaceDN w:val="0"/>
              <w:ind w:left="171" w:right="141" w:hanging="171"/>
              <w:textAlignment w:val="baseline"/>
              <w:rPr>
                <w:rFonts w:cs="Arial"/>
                <w:szCs w:val="24"/>
                <w:lang w:val="en-US" w:eastAsia="en-GB"/>
              </w:rPr>
            </w:pPr>
            <w:r w:rsidRPr="00A8677C">
              <w:rPr>
                <w:rFonts w:cs="Arial"/>
                <w:szCs w:val="24"/>
                <w:lang w:val="en-US" w:eastAsia="en-GB"/>
              </w:rPr>
              <w:t xml:space="preserve">The Council’s investment priorities will be security first, portfolio liquidity second and then yield, (return). </w:t>
            </w:r>
            <w:r w:rsidRPr="00A8677C">
              <w:rPr>
                <w:rFonts w:cs="Arial"/>
                <w:szCs w:val="24"/>
                <w:lang w:val="en-US" w:eastAsia="en-GB"/>
              </w:rPr>
              <w:tab/>
              <w:t xml:space="preserve">The Council will aim to achieve the optimum return (yield) on its investments commensurate with proper levels of security and liquidity and with the Council’s risk appetite. </w:t>
            </w:r>
          </w:p>
        </w:tc>
        <w:tc>
          <w:tcPr>
            <w:tcW w:w="895"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 w:type="dxa"/>
              <w:bottom w:w="0" w:type="dxa"/>
              <w:right w:w="10" w:type="dxa"/>
            </w:tcMar>
          </w:tcPr>
          <w:p w14:paraId="7E2A515C" w14:textId="77777777" w:rsidR="001813C8" w:rsidRPr="00F3485E" w:rsidRDefault="001813C8" w:rsidP="0081234A">
            <w:pPr>
              <w:suppressAutoHyphens/>
              <w:autoSpaceDN w:val="0"/>
              <w:ind w:right="141"/>
              <w:textAlignment w:val="baseline"/>
              <w:rPr>
                <w:rFonts w:cs="Arial"/>
                <w:szCs w:val="24"/>
                <w:lang w:val="en-US" w:eastAsia="en-GB"/>
              </w:rPr>
            </w:pPr>
            <w:r>
              <w:rPr>
                <w:rFonts w:cs="Arial"/>
                <w:szCs w:val="24"/>
                <w:lang w:val="en-US" w:eastAsia="en-GB"/>
              </w:rPr>
              <w:t>Amber</w:t>
            </w:r>
          </w:p>
        </w:tc>
      </w:tr>
      <w:tr w:rsidR="001813C8" w:rsidRPr="00F3485E" w14:paraId="57CF5DD0" w14:textId="77777777" w:rsidTr="0081234A">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E7205" w14:textId="77777777" w:rsidR="001813C8" w:rsidRPr="00F3485E" w:rsidRDefault="001813C8" w:rsidP="0081234A">
            <w:pPr>
              <w:suppressAutoHyphens/>
              <w:autoSpaceDN w:val="0"/>
              <w:ind w:right="141"/>
              <w:textAlignment w:val="baseline"/>
              <w:rPr>
                <w:rFonts w:cs="Arial"/>
                <w:szCs w:val="24"/>
                <w:lang w:eastAsia="en-GB"/>
              </w:rPr>
            </w:pPr>
            <w:r w:rsidRPr="00F3485E">
              <w:rPr>
                <w:rFonts w:cs="Arial"/>
                <w:szCs w:val="24"/>
                <w:lang w:eastAsia="en-GB"/>
              </w:rPr>
              <w:t>Council’s capital investment programme is not affordable, prudent or sustainable</w:t>
            </w:r>
          </w:p>
          <w:p w14:paraId="44A8EC81" w14:textId="77777777" w:rsidR="001813C8" w:rsidRPr="00F3485E" w:rsidRDefault="001813C8" w:rsidP="0081234A">
            <w:pPr>
              <w:suppressAutoHyphens/>
              <w:autoSpaceDN w:val="0"/>
              <w:ind w:right="141"/>
              <w:textAlignment w:val="baseline"/>
              <w:rPr>
                <w:rFonts w:cs="Arial"/>
                <w:szCs w:val="24"/>
                <w:lang w:val="en-US" w:eastAsia="en-GB"/>
              </w:rPr>
            </w:pPr>
          </w:p>
        </w:tc>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5DDAB" w14:textId="77777777" w:rsidR="001813C8" w:rsidRPr="00F3485E" w:rsidRDefault="001813C8" w:rsidP="001813C8">
            <w:pPr>
              <w:numPr>
                <w:ilvl w:val="0"/>
                <w:numId w:val="70"/>
              </w:numPr>
              <w:suppressAutoHyphens/>
              <w:autoSpaceDN w:val="0"/>
              <w:ind w:left="171" w:right="141" w:hanging="171"/>
              <w:textAlignment w:val="baseline"/>
              <w:rPr>
                <w:rFonts w:cs="Arial"/>
                <w:szCs w:val="24"/>
                <w:lang w:val="en-US" w:eastAsia="en-GB"/>
              </w:rPr>
            </w:pPr>
            <w:r w:rsidRPr="00A8677C">
              <w:rPr>
                <w:rFonts w:cs="Arial"/>
                <w:szCs w:val="24"/>
                <w:lang w:eastAsia="en-GB"/>
              </w:rPr>
              <w:t>One of the Prudential Indicators of affordability is the ratio of financing costs to net revenue stream, assessing the actual and estimated cost of capital against the income of the Authority.  Table 8</w:t>
            </w:r>
          </w:p>
          <w:p w14:paraId="6D95A390" w14:textId="77777777" w:rsidR="001813C8" w:rsidRPr="00F3485E" w:rsidRDefault="001813C8" w:rsidP="001813C8">
            <w:pPr>
              <w:numPr>
                <w:ilvl w:val="0"/>
                <w:numId w:val="70"/>
              </w:numPr>
              <w:suppressAutoHyphens/>
              <w:autoSpaceDN w:val="0"/>
              <w:ind w:left="171" w:right="141" w:hanging="171"/>
              <w:textAlignment w:val="baseline"/>
              <w:rPr>
                <w:rFonts w:cs="Arial"/>
                <w:szCs w:val="24"/>
                <w:lang w:val="en-US" w:eastAsia="en-GB"/>
              </w:rPr>
            </w:pPr>
            <w:r>
              <w:rPr>
                <w:rFonts w:cs="Arial"/>
                <w:szCs w:val="24"/>
                <w:lang w:val="en-US" w:eastAsia="en-GB"/>
              </w:rPr>
              <w:t>Limits on borrowing activity</w:t>
            </w:r>
          </w:p>
          <w:p w14:paraId="20B0BF3B" w14:textId="77777777" w:rsidR="001813C8" w:rsidRPr="00A8677C" w:rsidRDefault="001813C8" w:rsidP="001813C8">
            <w:pPr>
              <w:numPr>
                <w:ilvl w:val="0"/>
                <w:numId w:val="70"/>
              </w:numPr>
              <w:suppressAutoHyphens/>
              <w:autoSpaceDN w:val="0"/>
              <w:ind w:left="171" w:right="141" w:hanging="171"/>
              <w:textAlignment w:val="baseline"/>
              <w:rPr>
                <w:rFonts w:cs="Arial"/>
                <w:szCs w:val="24"/>
                <w:lang w:val="en-US" w:eastAsia="en-GB"/>
              </w:rPr>
            </w:pPr>
            <w:r w:rsidRPr="00A8677C">
              <w:rPr>
                <w:rFonts w:cs="Arial"/>
                <w:szCs w:val="24"/>
                <w:lang w:eastAsia="en-GB"/>
              </w:rPr>
              <w:t>The Council is currently maintaining an under-borrowed position, estimated to be £155m as at 31st March 2021.</w:t>
            </w:r>
          </w:p>
          <w:p w14:paraId="37A4EDE9" w14:textId="77777777" w:rsidR="001813C8" w:rsidRPr="00F3485E" w:rsidRDefault="001813C8" w:rsidP="0081234A">
            <w:pPr>
              <w:suppressAutoHyphens/>
              <w:autoSpaceDN w:val="0"/>
              <w:ind w:right="141"/>
              <w:textAlignment w:val="baseline"/>
              <w:rPr>
                <w:rFonts w:cs="Arial"/>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4D47D551" w14:textId="77777777" w:rsidR="001813C8" w:rsidRPr="00F3485E" w:rsidRDefault="001813C8" w:rsidP="0081234A">
            <w:pPr>
              <w:suppressAutoHyphens/>
              <w:autoSpaceDN w:val="0"/>
              <w:ind w:right="141"/>
              <w:textAlignment w:val="baseline"/>
              <w:rPr>
                <w:rFonts w:cs="Arial"/>
                <w:szCs w:val="24"/>
                <w:lang w:val="en-US" w:eastAsia="en-GB"/>
              </w:rPr>
            </w:pPr>
            <w:r>
              <w:rPr>
                <w:rFonts w:cs="Arial"/>
                <w:szCs w:val="24"/>
                <w:lang w:val="en-US" w:eastAsia="en-GB"/>
              </w:rPr>
              <w:t>Green</w:t>
            </w:r>
          </w:p>
        </w:tc>
      </w:tr>
      <w:tr w:rsidR="001813C8" w:rsidRPr="00F3485E" w14:paraId="5F0ECFBD" w14:textId="77777777" w:rsidTr="0081234A">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EE927" w14:textId="77777777" w:rsidR="001813C8" w:rsidRPr="00F3485E" w:rsidRDefault="001813C8" w:rsidP="0081234A">
            <w:pPr>
              <w:suppressAutoHyphens/>
              <w:autoSpaceDN w:val="0"/>
              <w:ind w:right="141"/>
              <w:textAlignment w:val="baseline"/>
              <w:rPr>
                <w:rFonts w:cs="Arial"/>
                <w:szCs w:val="24"/>
                <w:lang w:eastAsia="en-GB"/>
              </w:rPr>
            </w:pPr>
            <w:r>
              <w:rPr>
                <w:rFonts w:cs="Arial"/>
                <w:szCs w:val="24"/>
                <w:lang w:eastAsia="en-GB"/>
              </w:rPr>
              <w:t>VFM is not achieved</w:t>
            </w:r>
          </w:p>
        </w:tc>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348EB" w14:textId="77777777" w:rsidR="001813C8" w:rsidRDefault="001813C8" w:rsidP="001813C8">
            <w:pPr>
              <w:numPr>
                <w:ilvl w:val="0"/>
                <w:numId w:val="70"/>
              </w:numPr>
              <w:suppressAutoHyphens/>
              <w:autoSpaceDN w:val="0"/>
              <w:ind w:left="171" w:right="141" w:hanging="171"/>
              <w:textAlignment w:val="baseline"/>
              <w:rPr>
                <w:rFonts w:cs="Arial"/>
                <w:szCs w:val="24"/>
                <w:lang w:eastAsia="en-GB"/>
              </w:rPr>
            </w:pPr>
            <w:r>
              <w:rPr>
                <w:rFonts w:cs="Arial"/>
                <w:szCs w:val="24"/>
                <w:lang w:eastAsia="en-GB"/>
              </w:rPr>
              <w:t xml:space="preserve">The Council </w:t>
            </w:r>
            <w:r w:rsidRPr="00F53609">
              <w:rPr>
                <w:rFonts w:cs="Arial"/>
                <w:szCs w:val="24"/>
                <w:lang w:eastAsia="en-GB"/>
              </w:rPr>
              <w:t xml:space="preserve">will monitor the yield from investment income against appropriate benchmarks for investment performance.  </w:t>
            </w:r>
          </w:p>
          <w:p w14:paraId="5D2151B6" w14:textId="77777777" w:rsidR="001813C8" w:rsidRDefault="001813C8" w:rsidP="001813C8">
            <w:pPr>
              <w:numPr>
                <w:ilvl w:val="0"/>
                <w:numId w:val="70"/>
              </w:numPr>
              <w:suppressAutoHyphens/>
              <w:autoSpaceDN w:val="0"/>
              <w:ind w:left="171" w:right="141" w:hanging="171"/>
              <w:textAlignment w:val="baseline"/>
              <w:rPr>
                <w:rFonts w:cs="Arial"/>
                <w:szCs w:val="24"/>
                <w:lang w:eastAsia="en-GB"/>
              </w:rPr>
            </w:pPr>
            <w:r w:rsidRPr="00F53609">
              <w:rPr>
                <w:rFonts w:cs="Arial"/>
                <w:szCs w:val="24"/>
                <w:lang w:eastAsia="en-GB"/>
              </w:rPr>
              <w:t>Regular monitoring of investment performance will be carried out during the year.</w:t>
            </w:r>
          </w:p>
          <w:p w14:paraId="62489426" w14:textId="77777777" w:rsidR="001813C8" w:rsidRPr="00F3485E" w:rsidRDefault="001813C8" w:rsidP="0081234A">
            <w:pPr>
              <w:suppressAutoHyphens/>
              <w:autoSpaceDN w:val="0"/>
              <w:ind w:right="141"/>
              <w:textAlignment w:val="baseline"/>
              <w:rPr>
                <w:rFonts w:cs="Arial"/>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15685843" w14:textId="77777777" w:rsidR="001813C8" w:rsidRPr="00F3485E" w:rsidRDefault="001813C8" w:rsidP="0081234A">
            <w:pPr>
              <w:suppressAutoHyphens/>
              <w:autoSpaceDN w:val="0"/>
              <w:ind w:right="141"/>
              <w:textAlignment w:val="baseline"/>
              <w:rPr>
                <w:rFonts w:cs="Arial"/>
                <w:szCs w:val="24"/>
                <w:lang w:val="en-US" w:eastAsia="en-GB"/>
              </w:rPr>
            </w:pPr>
            <w:r>
              <w:rPr>
                <w:rFonts w:cs="Arial"/>
                <w:szCs w:val="24"/>
                <w:lang w:val="en-US" w:eastAsia="en-GB"/>
              </w:rPr>
              <w:lastRenderedPageBreak/>
              <w:t>Green</w:t>
            </w:r>
          </w:p>
        </w:tc>
      </w:tr>
      <w:tr w:rsidR="001813C8" w:rsidRPr="00F3485E" w14:paraId="5680EB00" w14:textId="77777777" w:rsidTr="0081234A">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477DA" w14:textId="77777777" w:rsidR="001813C8" w:rsidRPr="00F3485E" w:rsidRDefault="001813C8" w:rsidP="0081234A">
            <w:pPr>
              <w:suppressAutoHyphens/>
              <w:autoSpaceDN w:val="0"/>
              <w:ind w:right="141"/>
              <w:textAlignment w:val="baseline"/>
              <w:rPr>
                <w:rFonts w:cs="Arial"/>
                <w:szCs w:val="24"/>
                <w:lang w:eastAsia="en-GB"/>
              </w:rPr>
            </w:pPr>
            <w:r w:rsidRPr="00C80AB9">
              <w:rPr>
                <w:rFonts w:cs="Arial"/>
                <w:szCs w:val="24"/>
                <w:lang w:eastAsia="en-GB"/>
              </w:rPr>
              <w:t xml:space="preserve">Provision </w:t>
            </w:r>
            <w:r>
              <w:rPr>
                <w:rFonts w:cs="Arial"/>
                <w:szCs w:val="24"/>
                <w:lang w:eastAsia="en-GB"/>
              </w:rPr>
              <w:t xml:space="preserve">made in the General Fund for debt </w:t>
            </w:r>
            <w:r w:rsidRPr="00C80AB9">
              <w:rPr>
                <w:rFonts w:cs="Arial"/>
                <w:szCs w:val="24"/>
                <w:lang w:eastAsia="en-GB"/>
              </w:rPr>
              <w:t>is not prudent</w:t>
            </w:r>
          </w:p>
        </w:tc>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6B925" w14:textId="77777777" w:rsidR="001813C8" w:rsidRPr="00F3485E" w:rsidRDefault="001813C8" w:rsidP="001813C8">
            <w:pPr>
              <w:numPr>
                <w:ilvl w:val="0"/>
                <w:numId w:val="70"/>
              </w:numPr>
              <w:suppressAutoHyphens/>
              <w:autoSpaceDN w:val="0"/>
              <w:ind w:left="171" w:right="141" w:hanging="171"/>
              <w:textAlignment w:val="baseline"/>
              <w:rPr>
                <w:rFonts w:cs="Arial"/>
                <w:szCs w:val="24"/>
                <w:lang w:val="en-US" w:eastAsia="en-GB"/>
              </w:rPr>
            </w:pPr>
            <w:r w:rsidRPr="00924E67">
              <w:rPr>
                <w:rFonts w:cs="Arial"/>
                <w:szCs w:val="24"/>
                <w:lang w:eastAsia="en-GB"/>
              </w:rPr>
              <w:t>MRP Statement setting out what provision is to be made in the General Fund for the repayment of debt, and how the provision is to be calculated. The purpose of the Statement is to ensure the provision is prudent, allowing the debt to be repaid over a period reasonably commensurate with that over which the capital expenditure benefits. Appendix C.</w:t>
            </w: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4BE976D7" w14:textId="77777777" w:rsidR="001813C8" w:rsidRPr="00F3485E" w:rsidRDefault="001813C8" w:rsidP="0081234A">
            <w:pPr>
              <w:suppressAutoHyphens/>
              <w:autoSpaceDN w:val="0"/>
              <w:ind w:right="141"/>
              <w:textAlignment w:val="baseline"/>
              <w:rPr>
                <w:rFonts w:cs="Arial"/>
                <w:szCs w:val="24"/>
                <w:lang w:val="en-US" w:eastAsia="en-GB"/>
              </w:rPr>
            </w:pPr>
            <w:r>
              <w:rPr>
                <w:rFonts w:cs="Arial"/>
                <w:szCs w:val="24"/>
                <w:lang w:val="en-US" w:eastAsia="en-GB"/>
              </w:rPr>
              <w:t>Green</w:t>
            </w:r>
          </w:p>
        </w:tc>
      </w:tr>
      <w:tr w:rsidR="001813C8" w:rsidRPr="00F3485E" w14:paraId="11EB0AEB" w14:textId="77777777" w:rsidTr="0081234A">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4311F" w14:textId="77777777" w:rsidR="001813C8" w:rsidRPr="00F3485E" w:rsidRDefault="001813C8" w:rsidP="0081234A">
            <w:pPr>
              <w:suppressAutoHyphens/>
              <w:autoSpaceDN w:val="0"/>
              <w:ind w:right="141"/>
              <w:textAlignment w:val="baseline"/>
              <w:rPr>
                <w:rFonts w:cs="Arial"/>
                <w:szCs w:val="24"/>
                <w:lang w:eastAsia="en-GB"/>
              </w:rPr>
            </w:pPr>
            <w:r w:rsidRPr="00C80AB9">
              <w:rPr>
                <w:rFonts w:cs="Arial"/>
                <w:szCs w:val="24"/>
                <w:lang w:eastAsia="en-GB"/>
              </w:rPr>
              <w:t>Too many loan</w:t>
            </w:r>
            <w:r>
              <w:rPr>
                <w:rFonts w:cs="Arial"/>
                <w:szCs w:val="24"/>
                <w:lang w:eastAsia="en-GB"/>
              </w:rPr>
              <w:t>s</w:t>
            </w:r>
            <w:r w:rsidRPr="00C80AB9">
              <w:rPr>
                <w:rFonts w:cs="Arial"/>
                <w:szCs w:val="24"/>
                <w:lang w:eastAsia="en-GB"/>
              </w:rPr>
              <w:t xml:space="preserve"> matur</w:t>
            </w:r>
            <w:r>
              <w:rPr>
                <w:rFonts w:cs="Arial"/>
                <w:szCs w:val="24"/>
                <w:lang w:eastAsia="en-GB"/>
              </w:rPr>
              <w:t>e</w:t>
            </w:r>
            <w:r w:rsidRPr="00C80AB9">
              <w:rPr>
                <w:rFonts w:cs="Arial"/>
                <w:szCs w:val="24"/>
                <w:lang w:eastAsia="en-GB"/>
              </w:rPr>
              <w:t xml:space="preserve"> in one period impacting on ability to refinance risk</w:t>
            </w:r>
          </w:p>
        </w:tc>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D4F19" w14:textId="77777777" w:rsidR="001813C8" w:rsidRPr="00F3485E" w:rsidRDefault="001813C8" w:rsidP="001813C8">
            <w:pPr>
              <w:numPr>
                <w:ilvl w:val="0"/>
                <w:numId w:val="70"/>
              </w:numPr>
              <w:suppressAutoHyphens/>
              <w:autoSpaceDN w:val="0"/>
              <w:ind w:left="171" w:right="141" w:hanging="171"/>
              <w:textAlignment w:val="baseline"/>
              <w:rPr>
                <w:rFonts w:cs="Arial"/>
                <w:szCs w:val="24"/>
                <w:lang w:val="en-US" w:eastAsia="en-GB"/>
              </w:rPr>
            </w:pPr>
            <w:r w:rsidRPr="00C80AB9">
              <w:rPr>
                <w:rFonts w:cs="Arial"/>
                <w:szCs w:val="24"/>
                <w:lang w:eastAsia="en-GB"/>
              </w:rPr>
              <w:t>The Council maintains upper and lower limits with respect to the maturity structure of its borrowing.  This Prudential Indicator, reflecting the earliest date at which a lender can require payment is set to ensure refinancing risk is managed regarding the concentration of loan maturities in any one period.</w:t>
            </w: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04F04DF3" w14:textId="77777777" w:rsidR="001813C8" w:rsidRPr="00F3485E" w:rsidRDefault="001813C8" w:rsidP="0081234A">
            <w:pPr>
              <w:suppressAutoHyphens/>
              <w:autoSpaceDN w:val="0"/>
              <w:ind w:right="141"/>
              <w:textAlignment w:val="baseline"/>
              <w:rPr>
                <w:rFonts w:cs="Arial"/>
                <w:szCs w:val="24"/>
                <w:lang w:val="en-US" w:eastAsia="en-GB"/>
              </w:rPr>
            </w:pPr>
            <w:r>
              <w:rPr>
                <w:rFonts w:cs="Arial"/>
                <w:szCs w:val="24"/>
                <w:lang w:val="en-US" w:eastAsia="en-GB"/>
              </w:rPr>
              <w:t>Green</w:t>
            </w:r>
          </w:p>
        </w:tc>
      </w:tr>
      <w:tr w:rsidR="001813C8" w:rsidRPr="00F3485E" w14:paraId="10C4A878" w14:textId="77777777" w:rsidTr="0081234A">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E9039" w14:textId="77777777" w:rsidR="001813C8" w:rsidRPr="00F3485E" w:rsidRDefault="001813C8" w:rsidP="0081234A">
            <w:pPr>
              <w:suppressAutoHyphens/>
              <w:autoSpaceDN w:val="0"/>
              <w:ind w:right="141"/>
              <w:textAlignment w:val="baseline"/>
              <w:rPr>
                <w:rFonts w:cs="Arial"/>
                <w:szCs w:val="24"/>
                <w:lang w:eastAsia="en-GB"/>
              </w:rPr>
            </w:pPr>
            <w:r w:rsidRPr="007A377B">
              <w:rPr>
                <w:rFonts w:cs="Arial"/>
                <w:szCs w:val="24"/>
                <w:lang w:eastAsia="en-GB"/>
              </w:rPr>
              <w:t>Borrowing is undertaken for revenue or speculative purposes</w:t>
            </w:r>
          </w:p>
        </w:tc>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F8CB0" w14:textId="77777777" w:rsidR="001813C8" w:rsidRPr="00F3485E" w:rsidRDefault="001813C8" w:rsidP="001813C8">
            <w:pPr>
              <w:numPr>
                <w:ilvl w:val="0"/>
                <w:numId w:val="70"/>
              </w:numPr>
              <w:suppressAutoHyphens/>
              <w:autoSpaceDN w:val="0"/>
              <w:ind w:left="171" w:right="141" w:hanging="171"/>
              <w:textAlignment w:val="baseline"/>
              <w:rPr>
                <w:rFonts w:cs="Arial"/>
                <w:szCs w:val="24"/>
                <w:lang w:val="en-US" w:eastAsia="en-GB"/>
              </w:rPr>
            </w:pPr>
            <w:r w:rsidRPr="007A377B">
              <w:rPr>
                <w:rFonts w:cs="Arial"/>
                <w:szCs w:val="24"/>
                <w:lang w:eastAsia="en-GB"/>
              </w:rPr>
              <w:t>Within the range of prudential indicators there are a number of key indicators to ensure that the Council operates its activities within well-defined limits.  One of these is that the Council needs to ensure that its gross debt does not, except in the short term, exceed the total of the CFR in the preceding year plus the estimates of any additional CFR for 2021/22 and the following two financial years</w:t>
            </w: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1D84F556" w14:textId="77777777" w:rsidR="001813C8" w:rsidRPr="00F3485E" w:rsidRDefault="001813C8" w:rsidP="0081234A">
            <w:pPr>
              <w:suppressAutoHyphens/>
              <w:autoSpaceDN w:val="0"/>
              <w:ind w:right="141"/>
              <w:textAlignment w:val="baseline"/>
              <w:rPr>
                <w:rFonts w:cs="Arial"/>
                <w:szCs w:val="24"/>
                <w:lang w:val="en-US" w:eastAsia="en-GB"/>
              </w:rPr>
            </w:pPr>
            <w:r>
              <w:rPr>
                <w:rFonts w:cs="Arial"/>
                <w:szCs w:val="24"/>
                <w:lang w:val="en-US" w:eastAsia="en-GB"/>
              </w:rPr>
              <w:t>Green</w:t>
            </w:r>
          </w:p>
        </w:tc>
      </w:tr>
      <w:tr w:rsidR="001813C8" w:rsidRPr="00F3485E" w14:paraId="5BDCC6F6" w14:textId="77777777" w:rsidTr="0081234A">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FB29C" w14:textId="77777777" w:rsidR="001813C8" w:rsidRPr="007A377B" w:rsidRDefault="001813C8" w:rsidP="0081234A">
            <w:pPr>
              <w:suppressAutoHyphens/>
              <w:autoSpaceDN w:val="0"/>
              <w:ind w:right="141"/>
              <w:textAlignment w:val="baseline"/>
              <w:rPr>
                <w:rFonts w:cs="Arial"/>
                <w:szCs w:val="24"/>
                <w:lang w:eastAsia="en-GB"/>
              </w:rPr>
            </w:pPr>
            <w:r>
              <w:rPr>
                <w:rFonts w:cs="Arial"/>
                <w:szCs w:val="24"/>
                <w:lang w:eastAsia="en-GB"/>
              </w:rPr>
              <w:t>E</w:t>
            </w:r>
            <w:r w:rsidRPr="007A377B">
              <w:rPr>
                <w:rFonts w:cs="Arial"/>
                <w:szCs w:val="24"/>
                <w:lang w:eastAsia="en-GB"/>
              </w:rPr>
              <w:t>xceptional levels of volatility in PWLB rates</w:t>
            </w:r>
          </w:p>
        </w:tc>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3F6E8" w14:textId="77777777" w:rsidR="001813C8" w:rsidRDefault="001813C8" w:rsidP="001813C8">
            <w:pPr>
              <w:numPr>
                <w:ilvl w:val="0"/>
                <w:numId w:val="70"/>
              </w:numPr>
              <w:suppressAutoHyphens/>
              <w:autoSpaceDN w:val="0"/>
              <w:ind w:left="171" w:right="141" w:hanging="171"/>
              <w:textAlignment w:val="baseline"/>
              <w:rPr>
                <w:rFonts w:cs="Arial"/>
                <w:szCs w:val="24"/>
                <w:lang w:eastAsia="en-GB"/>
              </w:rPr>
            </w:pPr>
            <w:r w:rsidRPr="007A377B">
              <w:rPr>
                <w:rFonts w:cs="Arial"/>
                <w:szCs w:val="24"/>
                <w:lang w:eastAsia="en-GB"/>
              </w:rPr>
              <w:t xml:space="preserve">The Council’s Treasury Management Adviser, Link Asset Services, has provided </w:t>
            </w:r>
            <w:r>
              <w:rPr>
                <w:rFonts w:cs="Arial"/>
                <w:szCs w:val="24"/>
                <w:lang w:eastAsia="en-GB"/>
              </w:rPr>
              <w:t xml:space="preserve">an </w:t>
            </w:r>
            <w:r w:rsidRPr="007A377B">
              <w:rPr>
                <w:rFonts w:cs="Arial"/>
                <w:szCs w:val="24"/>
                <w:lang w:eastAsia="en-GB"/>
              </w:rPr>
              <w:t>interest rate forecast</w:t>
            </w:r>
            <w:r>
              <w:rPr>
                <w:rFonts w:cs="Arial"/>
                <w:szCs w:val="24"/>
                <w:lang w:eastAsia="en-GB"/>
              </w:rPr>
              <w:t xml:space="preserve"> (Table 11).</w:t>
            </w:r>
          </w:p>
          <w:p w14:paraId="0E53F78E" w14:textId="77777777" w:rsidR="001813C8" w:rsidRPr="007A377B" w:rsidRDefault="001813C8" w:rsidP="001813C8">
            <w:pPr>
              <w:numPr>
                <w:ilvl w:val="0"/>
                <w:numId w:val="70"/>
              </w:numPr>
              <w:suppressAutoHyphens/>
              <w:autoSpaceDN w:val="0"/>
              <w:ind w:left="171" w:right="141" w:hanging="171"/>
              <w:textAlignment w:val="baseline"/>
              <w:rPr>
                <w:rFonts w:cs="Arial"/>
                <w:szCs w:val="24"/>
                <w:lang w:eastAsia="en-GB"/>
              </w:rPr>
            </w:pPr>
            <w:r w:rsidRPr="007A377B">
              <w:rPr>
                <w:rFonts w:cs="Arial"/>
                <w:szCs w:val="24"/>
                <w:lang w:eastAsia="en-GB"/>
              </w:rPr>
              <w:t xml:space="preserve">There is expected to be little upward movement in PWLB rates over the next two years however from time to time, gilt yields, and therefore PWLB rates, can be subject to exceptional levels of volatility due to geo-political, sovereign debt crisis, emerging market developments and sharp changes in investor sentiment, (as shown on 9th November when the first results of a successful COVID-19 vaccine trial were announced). Such volatility could occur at any time during the forecast period. </w:t>
            </w:r>
          </w:p>
        </w:tc>
        <w:tc>
          <w:tcPr>
            <w:tcW w:w="895" w:type="dxa"/>
            <w:tcBorders>
              <w:top w:val="single" w:sz="4" w:space="0" w:color="000000"/>
              <w:left w:val="single" w:sz="4" w:space="0" w:color="000000"/>
              <w:bottom w:val="single" w:sz="4" w:space="0" w:color="000000"/>
              <w:right w:val="single" w:sz="4" w:space="0" w:color="000000"/>
            </w:tcBorders>
            <w:shd w:val="clear" w:color="auto" w:fill="F79646" w:themeFill="accent6"/>
            <w:tcMar>
              <w:top w:w="0" w:type="dxa"/>
              <w:left w:w="10" w:type="dxa"/>
              <w:bottom w:w="0" w:type="dxa"/>
              <w:right w:w="10" w:type="dxa"/>
            </w:tcMar>
          </w:tcPr>
          <w:p w14:paraId="464CAAD3" w14:textId="77777777" w:rsidR="001813C8" w:rsidRDefault="001813C8" w:rsidP="0081234A">
            <w:pPr>
              <w:suppressAutoHyphens/>
              <w:autoSpaceDN w:val="0"/>
              <w:ind w:right="141"/>
              <w:textAlignment w:val="baseline"/>
              <w:rPr>
                <w:rFonts w:cs="Arial"/>
                <w:szCs w:val="24"/>
                <w:lang w:val="en-US" w:eastAsia="en-GB"/>
              </w:rPr>
            </w:pPr>
          </w:p>
          <w:p w14:paraId="064228E3" w14:textId="77777777" w:rsidR="001813C8" w:rsidRDefault="001813C8" w:rsidP="0081234A">
            <w:pPr>
              <w:suppressAutoHyphens/>
              <w:autoSpaceDN w:val="0"/>
              <w:ind w:right="141"/>
              <w:textAlignment w:val="baseline"/>
              <w:rPr>
                <w:rFonts w:cs="Arial"/>
                <w:szCs w:val="24"/>
                <w:lang w:val="en-US" w:eastAsia="en-GB"/>
              </w:rPr>
            </w:pPr>
            <w:r>
              <w:rPr>
                <w:rFonts w:cs="Arial"/>
                <w:szCs w:val="24"/>
                <w:lang w:val="en-US" w:eastAsia="en-GB"/>
              </w:rPr>
              <w:t>Amber</w:t>
            </w:r>
          </w:p>
          <w:p w14:paraId="332743D7" w14:textId="77777777" w:rsidR="001813C8" w:rsidRDefault="001813C8" w:rsidP="0081234A">
            <w:pPr>
              <w:suppressAutoHyphens/>
              <w:autoSpaceDN w:val="0"/>
              <w:ind w:right="141"/>
              <w:textAlignment w:val="baseline"/>
              <w:rPr>
                <w:rFonts w:cs="Arial"/>
                <w:szCs w:val="24"/>
                <w:lang w:val="en-US" w:eastAsia="en-GB"/>
              </w:rPr>
            </w:pPr>
          </w:p>
          <w:p w14:paraId="04624B80" w14:textId="77777777" w:rsidR="001813C8" w:rsidRDefault="001813C8" w:rsidP="0081234A">
            <w:pPr>
              <w:suppressAutoHyphens/>
              <w:autoSpaceDN w:val="0"/>
              <w:ind w:right="141"/>
              <w:textAlignment w:val="baseline"/>
              <w:rPr>
                <w:rFonts w:cs="Arial"/>
                <w:szCs w:val="24"/>
                <w:lang w:val="en-US" w:eastAsia="en-GB"/>
              </w:rPr>
            </w:pPr>
          </w:p>
          <w:p w14:paraId="49F73069" w14:textId="77777777" w:rsidR="001813C8" w:rsidRDefault="001813C8" w:rsidP="0081234A">
            <w:pPr>
              <w:suppressAutoHyphens/>
              <w:autoSpaceDN w:val="0"/>
              <w:ind w:right="141"/>
              <w:textAlignment w:val="baseline"/>
              <w:rPr>
                <w:rFonts w:cs="Arial"/>
                <w:szCs w:val="24"/>
                <w:lang w:val="en-US" w:eastAsia="en-GB"/>
              </w:rPr>
            </w:pPr>
          </w:p>
          <w:p w14:paraId="2B090DDA" w14:textId="77777777" w:rsidR="001813C8" w:rsidRDefault="001813C8" w:rsidP="0081234A">
            <w:pPr>
              <w:suppressAutoHyphens/>
              <w:autoSpaceDN w:val="0"/>
              <w:ind w:right="141"/>
              <w:textAlignment w:val="baseline"/>
              <w:rPr>
                <w:rFonts w:cs="Arial"/>
                <w:szCs w:val="24"/>
                <w:lang w:val="en-US" w:eastAsia="en-GB"/>
              </w:rPr>
            </w:pPr>
          </w:p>
          <w:p w14:paraId="156538A4" w14:textId="77777777" w:rsidR="001813C8" w:rsidRDefault="001813C8" w:rsidP="0081234A">
            <w:pPr>
              <w:suppressAutoHyphens/>
              <w:autoSpaceDN w:val="0"/>
              <w:ind w:right="141"/>
              <w:textAlignment w:val="baseline"/>
              <w:rPr>
                <w:rFonts w:cs="Arial"/>
                <w:szCs w:val="24"/>
                <w:lang w:val="en-US" w:eastAsia="en-GB"/>
              </w:rPr>
            </w:pPr>
          </w:p>
          <w:p w14:paraId="673ABA40" w14:textId="77777777" w:rsidR="001813C8" w:rsidRDefault="001813C8" w:rsidP="0081234A">
            <w:pPr>
              <w:suppressAutoHyphens/>
              <w:autoSpaceDN w:val="0"/>
              <w:ind w:right="141"/>
              <w:textAlignment w:val="baseline"/>
              <w:rPr>
                <w:rFonts w:cs="Arial"/>
                <w:szCs w:val="24"/>
                <w:lang w:val="en-US" w:eastAsia="en-GB"/>
              </w:rPr>
            </w:pPr>
          </w:p>
          <w:p w14:paraId="53081ED0" w14:textId="77777777" w:rsidR="001813C8" w:rsidRDefault="001813C8" w:rsidP="0081234A">
            <w:pPr>
              <w:suppressAutoHyphens/>
              <w:autoSpaceDN w:val="0"/>
              <w:ind w:right="141"/>
              <w:textAlignment w:val="baseline"/>
              <w:rPr>
                <w:rFonts w:cs="Arial"/>
                <w:szCs w:val="24"/>
                <w:lang w:val="en-US" w:eastAsia="en-GB"/>
              </w:rPr>
            </w:pPr>
          </w:p>
          <w:p w14:paraId="7992EB2C" w14:textId="77777777" w:rsidR="001813C8" w:rsidRDefault="001813C8" w:rsidP="0081234A">
            <w:pPr>
              <w:suppressAutoHyphens/>
              <w:autoSpaceDN w:val="0"/>
              <w:ind w:right="141"/>
              <w:textAlignment w:val="baseline"/>
              <w:rPr>
                <w:rFonts w:cs="Arial"/>
                <w:szCs w:val="24"/>
                <w:lang w:val="en-US" w:eastAsia="en-GB"/>
              </w:rPr>
            </w:pPr>
          </w:p>
          <w:p w14:paraId="1455007B" w14:textId="77777777" w:rsidR="001813C8" w:rsidRDefault="001813C8" w:rsidP="0081234A">
            <w:pPr>
              <w:suppressAutoHyphens/>
              <w:autoSpaceDN w:val="0"/>
              <w:ind w:right="141"/>
              <w:textAlignment w:val="baseline"/>
              <w:rPr>
                <w:rFonts w:cs="Arial"/>
                <w:szCs w:val="24"/>
                <w:lang w:val="en-US" w:eastAsia="en-GB"/>
              </w:rPr>
            </w:pPr>
          </w:p>
          <w:p w14:paraId="1C002E26" w14:textId="77777777" w:rsidR="001813C8" w:rsidRDefault="001813C8" w:rsidP="0081234A">
            <w:pPr>
              <w:suppressAutoHyphens/>
              <w:autoSpaceDN w:val="0"/>
              <w:ind w:right="141"/>
              <w:textAlignment w:val="baseline"/>
              <w:rPr>
                <w:rFonts w:cs="Arial"/>
                <w:szCs w:val="24"/>
                <w:lang w:val="en-US" w:eastAsia="en-GB"/>
              </w:rPr>
            </w:pPr>
          </w:p>
          <w:p w14:paraId="4DF73BE0" w14:textId="77777777" w:rsidR="001813C8" w:rsidRDefault="001813C8" w:rsidP="0081234A">
            <w:pPr>
              <w:suppressAutoHyphens/>
              <w:autoSpaceDN w:val="0"/>
              <w:ind w:right="141"/>
              <w:textAlignment w:val="baseline"/>
              <w:rPr>
                <w:rFonts w:cs="Arial"/>
                <w:szCs w:val="24"/>
                <w:lang w:val="en-US" w:eastAsia="en-GB"/>
              </w:rPr>
            </w:pPr>
          </w:p>
          <w:p w14:paraId="20C0D293" w14:textId="77777777" w:rsidR="001813C8" w:rsidRDefault="001813C8" w:rsidP="0081234A">
            <w:pPr>
              <w:suppressAutoHyphens/>
              <w:autoSpaceDN w:val="0"/>
              <w:ind w:right="141"/>
              <w:textAlignment w:val="baseline"/>
              <w:rPr>
                <w:rFonts w:cs="Arial"/>
                <w:szCs w:val="24"/>
                <w:lang w:val="en-US" w:eastAsia="en-GB"/>
              </w:rPr>
            </w:pPr>
          </w:p>
          <w:p w14:paraId="205B0ED9" w14:textId="77777777" w:rsidR="001813C8" w:rsidRDefault="001813C8" w:rsidP="0081234A">
            <w:pPr>
              <w:suppressAutoHyphens/>
              <w:autoSpaceDN w:val="0"/>
              <w:ind w:right="141"/>
              <w:textAlignment w:val="baseline"/>
              <w:rPr>
                <w:rFonts w:cs="Arial"/>
                <w:szCs w:val="24"/>
                <w:lang w:val="en-US" w:eastAsia="en-GB"/>
              </w:rPr>
            </w:pPr>
          </w:p>
          <w:p w14:paraId="60554C35" w14:textId="77777777" w:rsidR="001813C8" w:rsidRDefault="001813C8" w:rsidP="0081234A">
            <w:pPr>
              <w:suppressAutoHyphens/>
              <w:autoSpaceDN w:val="0"/>
              <w:ind w:right="141"/>
              <w:textAlignment w:val="baseline"/>
              <w:rPr>
                <w:rFonts w:cs="Arial"/>
                <w:szCs w:val="24"/>
                <w:lang w:val="en-US" w:eastAsia="en-GB"/>
              </w:rPr>
            </w:pPr>
          </w:p>
          <w:p w14:paraId="435981FE" w14:textId="77777777" w:rsidR="001813C8" w:rsidRPr="00F3485E" w:rsidRDefault="001813C8" w:rsidP="0081234A">
            <w:pPr>
              <w:suppressAutoHyphens/>
              <w:autoSpaceDN w:val="0"/>
              <w:ind w:right="141"/>
              <w:textAlignment w:val="baseline"/>
              <w:rPr>
                <w:rFonts w:cs="Arial"/>
                <w:szCs w:val="24"/>
                <w:lang w:val="en-US" w:eastAsia="en-GB"/>
              </w:rPr>
            </w:pPr>
          </w:p>
        </w:tc>
      </w:tr>
      <w:tr w:rsidR="001813C8" w:rsidRPr="00F3485E" w14:paraId="2CE3110A" w14:textId="77777777" w:rsidTr="0081234A">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9B577" w14:textId="77777777" w:rsidR="001813C8" w:rsidRDefault="001813C8" w:rsidP="0081234A">
            <w:pPr>
              <w:suppressAutoHyphens/>
              <w:autoSpaceDN w:val="0"/>
              <w:ind w:right="141"/>
              <w:textAlignment w:val="baseline"/>
              <w:rPr>
                <w:rFonts w:cs="Arial"/>
                <w:szCs w:val="24"/>
                <w:lang w:eastAsia="en-GB"/>
              </w:rPr>
            </w:pPr>
            <w:r w:rsidRPr="00193E59">
              <w:rPr>
                <w:rFonts w:cs="Arial"/>
                <w:szCs w:val="24"/>
                <w:lang w:eastAsia="en-GB"/>
              </w:rPr>
              <w:t>Default on Council Loans</w:t>
            </w:r>
          </w:p>
        </w:tc>
        <w:tc>
          <w:tcPr>
            <w:tcW w:w="4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377DD" w14:textId="77777777" w:rsidR="001813C8" w:rsidRPr="00193E59" w:rsidRDefault="001813C8" w:rsidP="001813C8">
            <w:pPr>
              <w:numPr>
                <w:ilvl w:val="0"/>
                <w:numId w:val="70"/>
              </w:numPr>
              <w:suppressAutoHyphens/>
              <w:autoSpaceDN w:val="0"/>
              <w:ind w:left="171" w:right="141" w:hanging="171"/>
              <w:textAlignment w:val="baseline"/>
              <w:rPr>
                <w:rFonts w:cs="Arial"/>
                <w:szCs w:val="24"/>
                <w:lang w:eastAsia="en-GB"/>
              </w:rPr>
            </w:pPr>
            <w:r w:rsidRPr="00193E59">
              <w:rPr>
                <w:rFonts w:cs="Arial"/>
                <w:szCs w:val="24"/>
                <w:lang w:eastAsia="en-GB"/>
              </w:rPr>
              <w:t>The risk of default attached to the Council’s portfolio is reported by Link Asset Services on a monthly basis.</w:t>
            </w:r>
          </w:p>
          <w:p w14:paraId="0F5A26C4" w14:textId="77777777" w:rsidR="001813C8" w:rsidRPr="007A377B" w:rsidRDefault="001813C8" w:rsidP="001813C8">
            <w:pPr>
              <w:numPr>
                <w:ilvl w:val="0"/>
                <w:numId w:val="70"/>
              </w:numPr>
              <w:suppressAutoHyphens/>
              <w:autoSpaceDN w:val="0"/>
              <w:ind w:left="171" w:right="141" w:hanging="171"/>
              <w:textAlignment w:val="baseline"/>
              <w:rPr>
                <w:rFonts w:cs="Arial"/>
                <w:szCs w:val="24"/>
                <w:lang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108DD9A4" w14:textId="77777777" w:rsidR="001813C8" w:rsidRDefault="001813C8" w:rsidP="0081234A">
            <w:pPr>
              <w:suppressAutoHyphens/>
              <w:autoSpaceDN w:val="0"/>
              <w:ind w:right="141"/>
              <w:textAlignment w:val="baseline"/>
              <w:rPr>
                <w:rFonts w:cs="Arial"/>
                <w:szCs w:val="24"/>
                <w:lang w:val="en-US" w:eastAsia="en-GB"/>
              </w:rPr>
            </w:pPr>
            <w:r>
              <w:rPr>
                <w:rFonts w:cs="Arial"/>
                <w:szCs w:val="24"/>
                <w:lang w:val="en-US" w:eastAsia="en-GB"/>
              </w:rPr>
              <w:t>Green</w:t>
            </w:r>
          </w:p>
        </w:tc>
      </w:tr>
    </w:tbl>
    <w:p w14:paraId="1E1189C5" w14:textId="77777777" w:rsidR="001813C8" w:rsidRPr="00F3485E" w:rsidRDefault="001813C8" w:rsidP="001813C8">
      <w:pPr>
        <w:suppressAutoHyphens/>
        <w:autoSpaceDN w:val="0"/>
        <w:ind w:right="141"/>
        <w:textAlignment w:val="baseline"/>
        <w:rPr>
          <w:rFonts w:cs="Arial"/>
          <w:i/>
          <w:iCs/>
          <w:szCs w:val="24"/>
          <w:lang w:val="en-US" w:eastAsia="en-GB"/>
        </w:rPr>
      </w:pPr>
    </w:p>
    <w:p w14:paraId="21DF1BF1" w14:textId="77777777" w:rsidR="001813C8" w:rsidRPr="00644A6C" w:rsidRDefault="001813C8" w:rsidP="001813C8">
      <w:pPr>
        <w:pStyle w:val="ListParagraph"/>
        <w:autoSpaceDE w:val="0"/>
        <w:autoSpaceDN w:val="0"/>
        <w:adjustRightInd w:val="0"/>
        <w:ind w:left="709"/>
        <w:rPr>
          <w:b/>
          <w:szCs w:val="24"/>
        </w:rPr>
      </w:pPr>
    </w:p>
    <w:p w14:paraId="073FAA12" w14:textId="77777777" w:rsidR="001813C8" w:rsidRPr="00644A6C" w:rsidRDefault="001813C8" w:rsidP="001813C8">
      <w:pPr>
        <w:pStyle w:val="ListParagraph"/>
        <w:ind w:left="709"/>
        <w:jc w:val="both"/>
        <w:rPr>
          <w:rFonts w:cs="Arial"/>
          <w:szCs w:val="24"/>
          <w:lang w:eastAsia="en-GB"/>
        </w:rPr>
      </w:pPr>
    </w:p>
    <w:p w14:paraId="2E83940E" w14:textId="425DDD9B" w:rsidR="00ED04FE" w:rsidRPr="0081234A" w:rsidRDefault="001813C8" w:rsidP="0081234A">
      <w:pPr>
        <w:pStyle w:val="ListParagraph"/>
        <w:numPr>
          <w:ilvl w:val="1"/>
          <w:numId w:val="23"/>
        </w:numPr>
        <w:tabs>
          <w:tab w:val="left" w:pos="5610"/>
        </w:tabs>
        <w:autoSpaceDE w:val="0"/>
        <w:autoSpaceDN w:val="0"/>
        <w:adjustRightInd w:val="0"/>
        <w:ind w:left="709" w:right="81" w:hanging="709"/>
        <w:jc w:val="both"/>
        <w:rPr>
          <w:rFonts w:cs="Tahoma"/>
          <w:szCs w:val="16"/>
        </w:rPr>
      </w:pPr>
      <w:r w:rsidRPr="0081234A">
        <w:rPr>
          <w:rFonts w:cs="Arial"/>
          <w:szCs w:val="24"/>
          <w:lang w:eastAsia="en-GB"/>
        </w:rPr>
        <w:t xml:space="preserve">The identification, monitoring and control of risk are central to the achievement of the treasury objectives.  Potential risks are identified, mitigated and monitored in accordance with treasury practice notes approved by the Treasury Management Group. </w:t>
      </w:r>
    </w:p>
    <w:p w14:paraId="3B37A9A0" w14:textId="77777777" w:rsidR="00E510C3" w:rsidRPr="00644A6C" w:rsidRDefault="00E510C3" w:rsidP="00013A0A">
      <w:pPr>
        <w:pStyle w:val="ListParagraph"/>
        <w:ind w:left="709"/>
        <w:jc w:val="both"/>
        <w:rPr>
          <w:rFonts w:cs="Arial"/>
          <w:szCs w:val="24"/>
          <w:lang w:eastAsia="en-GB"/>
        </w:rPr>
      </w:pPr>
    </w:p>
    <w:p w14:paraId="2FB7D3D4" w14:textId="1EB358F3" w:rsidR="00866279" w:rsidRPr="00644A6C" w:rsidRDefault="0081234A" w:rsidP="004E1FB4">
      <w:pPr>
        <w:pStyle w:val="ListParagraph"/>
        <w:numPr>
          <w:ilvl w:val="0"/>
          <w:numId w:val="1"/>
        </w:numPr>
        <w:ind w:left="709" w:hanging="709"/>
        <w:rPr>
          <w:b/>
          <w:szCs w:val="24"/>
        </w:rPr>
      </w:pPr>
      <w:r w:rsidRPr="00644A6C">
        <w:rPr>
          <w:b/>
          <w:sz w:val="32"/>
          <w:szCs w:val="32"/>
        </w:rPr>
        <w:t>Equalities Implications/Public Sector Equality Duty</w:t>
      </w:r>
    </w:p>
    <w:p w14:paraId="3A462F3A" w14:textId="77777777" w:rsidR="00866279" w:rsidRPr="00644A6C" w:rsidRDefault="00866279" w:rsidP="00866279">
      <w:pPr>
        <w:jc w:val="both"/>
        <w:rPr>
          <w:rFonts w:cs="Tahoma"/>
          <w:szCs w:val="16"/>
        </w:rPr>
      </w:pPr>
    </w:p>
    <w:p w14:paraId="318E9B4A" w14:textId="5B671563" w:rsidR="00866279" w:rsidRPr="00644A6C" w:rsidRDefault="00ED04FE" w:rsidP="008E3E63">
      <w:pPr>
        <w:pStyle w:val="ListParagraph"/>
        <w:numPr>
          <w:ilvl w:val="1"/>
          <w:numId w:val="24"/>
        </w:numPr>
        <w:ind w:left="709" w:hanging="709"/>
        <w:jc w:val="both"/>
        <w:rPr>
          <w:rFonts w:cs="Arial"/>
          <w:szCs w:val="24"/>
          <w:lang w:eastAsia="en-GB"/>
        </w:rPr>
      </w:pPr>
      <w:r w:rsidRPr="00644A6C">
        <w:rPr>
          <w:rFonts w:cs="Arial"/>
          <w:szCs w:val="24"/>
          <w:lang w:eastAsia="en-GB"/>
        </w:rPr>
        <w:t>T</w:t>
      </w:r>
      <w:r w:rsidR="00866279" w:rsidRPr="00644A6C">
        <w:rPr>
          <w:rFonts w:cs="Arial"/>
          <w:szCs w:val="24"/>
          <w:lang w:eastAsia="en-GB"/>
        </w:rPr>
        <w:t>here is no direct equalities impact.</w:t>
      </w:r>
    </w:p>
    <w:p w14:paraId="46E829D8" w14:textId="77777777" w:rsidR="00866279" w:rsidRPr="00644A6C" w:rsidRDefault="00866279" w:rsidP="00866279">
      <w:pPr>
        <w:rPr>
          <w:b/>
          <w:sz w:val="32"/>
          <w:szCs w:val="32"/>
        </w:rPr>
      </w:pPr>
    </w:p>
    <w:p w14:paraId="539A13A4" w14:textId="75810BF5" w:rsidR="00866279" w:rsidRPr="00644A6C" w:rsidRDefault="0081234A" w:rsidP="004E1FB4">
      <w:pPr>
        <w:pStyle w:val="ListParagraph"/>
        <w:numPr>
          <w:ilvl w:val="0"/>
          <w:numId w:val="1"/>
        </w:numPr>
        <w:ind w:left="709" w:hanging="709"/>
        <w:rPr>
          <w:b/>
          <w:szCs w:val="24"/>
        </w:rPr>
      </w:pPr>
      <w:r w:rsidRPr="00644A6C">
        <w:rPr>
          <w:b/>
          <w:sz w:val="32"/>
          <w:szCs w:val="32"/>
        </w:rPr>
        <w:t>Corporate Priorities</w:t>
      </w:r>
    </w:p>
    <w:p w14:paraId="58F0620E" w14:textId="77777777" w:rsidR="00866279" w:rsidRPr="00644A6C" w:rsidRDefault="00866279" w:rsidP="00866279">
      <w:pPr>
        <w:jc w:val="both"/>
        <w:rPr>
          <w:rFonts w:cs="Arial"/>
          <w:szCs w:val="24"/>
        </w:rPr>
      </w:pPr>
    </w:p>
    <w:p w14:paraId="18EE8702" w14:textId="6F0F3D06" w:rsidR="00866279" w:rsidRDefault="00ED04FE" w:rsidP="008E3E63">
      <w:pPr>
        <w:pStyle w:val="ListParagraph"/>
        <w:numPr>
          <w:ilvl w:val="1"/>
          <w:numId w:val="25"/>
        </w:numPr>
        <w:ind w:left="709" w:hanging="709"/>
        <w:jc w:val="both"/>
        <w:rPr>
          <w:rFonts w:cs="Arial"/>
          <w:szCs w:val="24"/>
          <w:lang w:eastAsia="en-GB"/>
        </w:rPr>
      </w:pPr>
      <w:r w:rsidRPr="00644A6C">
        <w:rPr>
          <w:rFonts w:cs="Arial"/>
          <w:szCs w:val="24"/>
          <w:lang w:eastAsia="en-GB"/>
        </w:rPr>
        <w:t>T</w:t>
      </w:r>
      <w:r w:rsidR="00866279" w:rsidRPr="00644A6C">
        <w:rPr>
          <w:rFonts w:cs="Arial"/>
          <w:szCs w:val="24"/>
          <w:lang w:eastAsia="en-GB"/>
        </w:rPr>
        <w:t>his report deals with the Treasury Management Strategy which plays a significant part in supporting the delivery of all the Council’s corporate priorities</w:t>
      </w:r>
      <w:r w:rsidR="009505F9">
        <w:rPr>
          <w:rFonts w:cs="Arial"/>
          <w:szCs w:val="24"/>
          <w:lang w:eastAsia="en-GB"/>
        </w:rPr>
        <w:t>:</w:t>
      </w:r>
    </w:p>
    <w:p w14:paraId="176C94E5" w14:textId="77777777" w:rsidR="009505F9" w:rsidRDefault="009505F9" w:rsidP="009505F9">
      <w:pPr>
        <w:pStyle w:val="ListParagraph"/>
        <w:ind w:left="709"/>
        <w:jc w:val="both"/>
        <w:rPr>
          <w:rFonts w:cs="Arial"/>
          <w:szCs w:val="24"/>
          <w:lang w:eastAsia="en-GB"/>
        </w:rPr>
      </w:pPr>
    </w:p>
    <w:p w14:paraId="54096D9B" w14:textId="77777777" w:rsidR="00794D0D" w:rsidRPr="009505F9" w:rsidRDefault="00794D0D" w:rsidP="009505F9">
      <w:pPr>
        <w:pStyle w:val="ListParagraph"/>
        <w:numPr>
          <w:ilvl w:val="0"/>
          <w:numId w:val="68"/>
        </w:numPr>
        <w:tabs>
          <w:tab w:val="left" w:pos="1418"/>
        </w:tabs>
        <w:suppressAutoHyphens/>
        <w:jc w:val="both"/>
        <w:rPr>
          <w:rFonts w:cs="Arial"/>
          <w:bCs/>
          <w:szCs w:val="24"/>
        </w:rPr>
      </w:pPr>
      <w:r w:rsidRPr="009505F9">
        <w:rPr>
          <w:rFonts w:cs="Arial"/>
          <w:bCs/>
          <w:szCs w:val="24"/>
        </w:rPr>
        <w:t>Improving the environment and addressing climate change</w:t>
      </w:r>
    </w:p>
    <w:p w14:paraId="08BEC4AE" w14:textId="77777777" w:rsidR="00794D0D" w:rsidRPr="009505F9" w:rsidRDefault="00794D0D" w:rsidP="009505F9">
      <w:pPr>
        <w:pStyle w:val="ListParagraph"/>
        <w:numPr>
          <w:ilvl w:val="0"/>
          <w:numId w:val="68"/>
        </w:numPr>
        <w:tabs>
          <w:tab w:val="left" w:pos="1418"/>
        </w:tabs>
        <w:suppressAutoHyphens/>
        <w:jc w:val="both"/>
        <w:rPr>
          <w:rFonts w:cs="Arial"/>
          <w:bCs/>
          <w:szCs w:val="24"/>
        </w:rPr>
      </w:pPr>
      <w:r w:rsidRPr="009505F9">
        <w:rPr>
          <w:rFonts w:cs="Arial"/>
          <w:bCs/>
          <w:szCs w:val="24"/>
        </w:rPr>
        <w:t>Tackling poverty and inequality</w:t>
      </w:r>
    </w:p>
    <w:p w14:paraId="198BF3DF" w14:textId="77777777" w:rsidR="00794D0D" w:rsidRPr="009505F9" w:rsidRDefault="00794D0D" w:rsidP="009505F9">
      <w:pPr>
        <w:pStyle w:val="ListParagraph"/>
        <w:numPr>
          <w:ilvl w:val="0"/>
          <w:numId w:val="68"/>
        </w:numPr>
        <w:tabs>
          <w:tab w:val="left" w:pos="1418"/>
        </w:tabs>
        <w:suppressAutoHyphens/>
        <w:jc w:val="both"/>
        <w:rPr>
          <w:rFonts w:cs="Arial"/>
          <w:bCs/>
          <w:szCs w:val="24"/>
        </w:rPr>
      </w:pPr>
      <w:r w:rsidRPr="009505F9">
        <w:rPr>
          <w:rFonts w:cs="Arial"/>
          <w:bCs/>
          <w:szCs w:val="24"/>
        </w:rPr>
        <w:t>Building homes and infrastructure</w:t>
      </w:r>
    </w:p>
    <w:p w14:paraId="29176F61" w14:textId="77777777" w:rsidR="00794D0D" w:rsidRPr="009505F9" w:rsidRDefault="00794D0D" w:rsidP="009505F9">
      <w:pPr>
        <w:pStyle w:val="ListParagraph"/>
        <w:numPr>
          <w:ilvl w:val="0"/>
          <w:numId w:val="68"/>
        </w:numPr>
        <w:tabs>
          <w:tab w:val="left" w:pos="1418"/>
        </w:tabs>
        <w:suppressAutoHyphens/>
        <w:jc w:val="both"/>
        <w:rPr>
          <w:rFonts w:cs="Arial"/>
          <w:bCs/>
          <w:szCs w:val="24"/>
        </w:rPr>
      </w:pPr>
      <w:r w:rsidRPr="009505F9">
        <w:rPr>
          <w:rFonts w:cs="Arial"/>
          <w:bCs/>
          <w:szCs w:val="24"/>
        </w:rPr>
        <w:t>Addressing health and social care inequality</w:t>
      </w:r>
    </w:p>
    <w:p w14:paraId="2E8CF7D8" w14:textId="78641834" w:rsidR="00C33C39" w:rsidRPr="00A80A7D" w:rsidRDefault="00794D0D" w:rsidP="009505F9">
      <w:pPr>
        <w:pStyle w:val="ListParagraph"/>
        <w:numPr>
          <w:ilvl w:val="0"/>
          <w:numId w:val="68"/>
        </w:numPr>
        <w:tabs>
          <w:tab w:val="left" w:pos="1418"/>
        </w:tabs>
        <w:suppressAutoHyphens/>
        <w:jc w:val="both"/>
        <w:rPr>
          <w:rFonts w:cs="Arial"/>
          <w:bCs/>
          <w:szCs w:val="24"/>
        </w:rPr>
      </w:pPr>
      <w:r w:rsidRPr="009505F9">
        <w:rPr>
          <w:rFonts w:cs="Arial"/>
          <w:bCs/>
          <w:szCs w:val="24"/>
        </w:rPr>
        <w:t>Thriving economy</w:t>
      </w:r>
    </w:p>
    <w:p w14:paraId="3D650CD1" w14:textId="77777777" w:rsidR="00794D0D" w:rsidRPr="001C0E66" w:rsidRDefault="00794D0D" w:rsidP="00794D0D">
      <w:pPr>
        <w:pStyle w:val="Heading2"/>
        <w:spacing w:before="480" w:after="240"/>
        <w:rPr>
          <w:rFonts w:ascii="Arial Black" w:hAnsi="Arial Black" w:cs="Times New Roman"/>
          <w:b w:val="0"/>
          <w:bCs w:val="0"/>
          <w:sz w:val="32"/>
          <w:szCs w:val="22"/>
        </w:rPr>
      </w:pPr>
      <w:r w:rsidRPr="001C0E66">
        <w:rPr>
          <w:rFonts w:ascii="Arial Black" w:hAnsi="Arial Black" w:cs="Times New Roman"/>
          <w:b w:val="0"/>
          <w:bCs w:val="0"/>
          <w:sz w:val="32"/>
          <w:szCs w:val="22"/>
        </w:rPr>
        <w:t>Section 3 - Statutory Officer Clearance</w:t>
      </w:r>
    </w:p>
    <w:p w14:paraId="68A98211" w14:textId="77777777" w:rsidR="00794D0D" w:rsidRPr="00A66326" w:rsidRDefault="00794D0D" w:rsidP="00794D0D">
      <w:pPr>
        <w:rPr>
          <w:sz w:val="28"/>
        </w:rPr>
      </w:pPr>
      <w:r w:rsidRPr="00A66326">
        <w:rPr>
          <w:b/>
          <w:sz w:val="28"/>
        </w:rPr>
        <w:t xml:space="preserve">Statutory Officer:  </w:t>
      </w:r>
      <w:r>
        <w:rPr>
          <w:b/>
          <w:sz w:val="28"/>
        </w:rPr>
        <w:t>Dawn Calvert</w:t>
      </w:r>
    </w:p>
    <w:p w14:paraId="49EFC5B4" w14:textId="77777777" w:rsidR="00794D0D" w:rsidRPr="00A66326" w:rsidRDefault="00794D0D" w:rsidP="00794D0D">
      <w:r w:rsidRPr="00A66326">
        <w:t>Signed by the Chief Financial Officer</w:t>
      </w:r>
    </w:p>
    <w:p w14:paraId="0E806A14" w14:textId="736BE9DE" w:rsidR="00794D0D" w:rsidRPr="00A66326" w:rsidRDefault="00794D0D" w:rsidP="00794D0D">
      <w:pPr>
        <w:spacing w:after="480"/>
        <w:rPr>
          <w:sz w:val="28"/>
        </w:rPr>
      </w:pPr>
      <w:r w:rsidRPr="00A66326">
        <w:rPr>
          <w:b/>
          <w:sz w:val="28"/>
        </w:rPr>
        <w:t xml:space="preserve">Date:  </w:t>
      </w:r>
      <w:r>
        <w:rPr>
          <w:b/>
          <w:sz w:val="28"/>
        </w:rPr>
        <w:t>0</w:t>
      </w:r>
      <w:r w:rsidR="009505F9">
        <w:rPr>
          <w:b/>
          <w:sz w:val="28"/>
        </w:rPr>
        <w:t>8</w:t>
      </w:r>
      <w:r>
        <w:rPr>
          <w:b/>
          <w:sz w:val="28"/>
        </w:rPr>
        <w:t>/02/2021</w:t>
      </w:r>
    </w:p>
    <w:p w14:paraId="6F723304" w14:textId="25D6D0B5" w:rsidR="00794D0D" w:rsidRPr="00A66326" w:rsidRDefault="00794D0D" w:rsidP="00794D0D">
      <w:pPr>
        <w:rPr>
          <w:sz w:val="28"/>
        </w:rPr>
      </w:pPr>
      <w:r w:rsidRPr="00A66326">
        <w:rPr>
          <w:b/>
          <w:sz w:val="28"/>
        </w:rPr>
        <w:t xml:space="preserve">Statutory Officer:  </w:t>
      </w:r>
      <w:r w:rsidR="009505F9">
        <w:rPr>
          <w:b/>
          <w:sz w:val="28"/>
        </w:rPr>
        <w:t>Chris Cuckney</w:t>
      </w:r>
    </w:p>
    <w:p w14:paraId="0B1C11AC" w14:textId="77777777" w:rsidR="00794D0D" w:rsidRPr="00A66326" w:rsidRDefault="00794D0D" w:rsidP="00794D0D">
      <w:r w:rsidRPr="00A66326">
        <w:t>Signed on behalf of</w:t>
      </w:r>
      <w:r>
        <w:t xml:space="preserve"> </w:t>
      </w:r>
      <w:r w:rsidRPr="00A66326">
        <w:t>the Monitoring Officer</w:t>
      </w:r>
    </w:p>
    <w:p w14:paraId="4EDEB8A5" w14:textId="64096733" w:rsidR="00794D0D" w:rsidRPr="003313EA" w:rsidRDefault="00794D0D" w:rsidP="00794D0D">
      <w:pPr>
        <w:spacing w:after="480"/>
        <w:rPr>
          <w:sz w:val="28"/>
        </w:rPr>
      </w:pPr>
      <w:r w:rsidRPr="00A66326">
        <w:rPr>
          <w:b/>
          <w:sz w:val="28"/>
        </w:rPr>
        <w:t xml:space="preserve">Date:  </w:t>
      </w:r>
      <w:r>
        <w:rPr>
          <w:b/>
          <w:sz w:val="28"/>
        </w:rPr>
        <w:t>0</w:t>
      </w:r>
      <w:r w:rsidR="009505F9">
        <w:rPr>
          <w:b/>
          <w:sz w:val="28"/>
        </w:rPr>
        <w:t>8</w:t>
      </w:r>
      <w:r>
        <w:rPr>
          <w:b/>
          <w:sz w:val="28"/>
        </w:rPr>
        <w:t>/02/2021</w:t>
      </w:r>
    </w:p>
    <w:p w14:paraId="515E5E84" w14:textId="77777777" w:rsidR="00794D0D" w:rsidRPr="00A66326" w:rsidRDefault="00794D0D" w:rsidP="00794D0D">
      <w:pPr>
        <w:rPr>
          <w:sz w:val="28"/>
        </w:rPr>
      </w:pPr>
      <w:r>
        <w:rPr>
          <w:b/>
          <w:sz w:val="28"/>
        </w:rPr>
        <w:t>Chief</w:t>
      </w:r>
      <w:r w:rsidRPr="00A66326">
        <w:rPr>
          <w:b/>
          <w:sz w:val="28"/>
        </w:rPr>
        <w:t xml:space="preserve"> Officer:  </w:t>
      </w:r>
      <w:r>
        <w:rPr>
          <w:b/>
          <w:sz w:val="28"/>
        </w:rPr>
        <w:t>Charlie Stewart</w:t>
      </w:r>
    </w:p>
    <w:p w14:paraId="2C5CE038" w14:textId="77777777" w:rsidR="00794D0D" w:rsidRPr="00A66326" w:rsidRDefault="00794D0D" w:rsidP="00794D0D">
      <w:r w:rsidRPr="00A66326">
        <w:t xml:space="preserve">Signed </w:t>
      </w:r>
      <w:r>
        <w:t>off by the Corporate Director</w:t>
      </w:r>
    </w:p>
    <w:p w14:paraId="02129E43" w14:textId="55D51CF8" w:rsidR="00794D0D" w:rsidRPr="003313EA" w:rsidRDefault="00794D0D" w:rsidP="00794D0D">
      <w:pPr>
        <w:spacing w:after="480"/>
        <w:rPr>
          <w:sz w:val="28"/>
        </w:rPr>
      </w:pPr>
      <w:r w:rsidRPr="00A66326">
        <w:rPr>
          <w:b/>
          <w:sz w:val="28"/>
        </w:rPr>
        <w:t xml:space="preserve">Date:  </w:t>
      </w:r>
      <w:r>
        <w:rPr>
          <w:b/>
          <w:sz w:val="28"/>
        </w:rPr>
        <w:t>0</w:t>
      </w:r>
      <w:r w:rsidR="009505F9">
        <w:rPr>
          <w:b/>
          <w:sz w:val="28"/>
        </w:rPr>
        <w:t>8</w:t>
      </w:r>
      <w:r>
        <w:rPr>
          <w:b/>
          <w:sz w:val="28"/>
        </w:rPr>
        <w:t>/02/2021</w:t>
      </w:r>
    </w:p>
    <w:p w14:paraId="1F4E229E" w14:textId="77777777" w:rsidR="00794D0D" w:rsidRPr="00A66326" w:rsidRDefault="00794D0D" w:rsidP="00794D0D">
      <w:pPr>
        <w:rPr>
          <w:sz w:val="28"/>
        </w:rPr>
      </w:pPr>
      <w:r>
        <w:rPr>
          <w:b/>
          <w:sz w:val="28"/>
        </w:rPr>
        <w:t>Head of Procurement</w:t>
      </w:r>
      <w:r w:rsidRPr="00A66326">
        <w:rPr>
          <w:b/>
          <w:sz w:val="28"/>
        </w:rPr>
        <w:t xml:space="preserve">:  </w:t>
      </w:r>
      <w:r>
        <w:rPr>
          <w:b/>
          <w:sz w:val="28"/>
        </w:rPr>
        <w:t>Nimesh Mehta</w:t>
      </w:r>
    </w:p>
    <w:p w14:paraId="1392DCAC" w14:textId="77777777" w:rsidR="00794D0D" w:rsidRPr="00A66326" w:rsidRDefault="00794D0D" w:rsidP="00794D0D">
      <w:r w:rsidRPr="00A66326">
        <w:t xml:space="preserve">Signed </w:t>
      </w:r>
      <w:r>
        <w:t>by</w:t>
      </w:r>
      <w:r w:rsidRPr="00A66326">
        <w:t xml:space="preserve"> the </w:t>
      </w:r>
      <w:r>
        <w:t>Head of Procurement</w:t>
      </w:r>
    </w:p>
    <w:p w14:paraId="1E9FABBD" w14:textId="6076ED1E" w:rsidR="00794D0D" w:rsidRPr="003313EA" w:rsidRDefault="00794D0D" w:rsidP="00794D0D">
      <w:pPr>
        <w:spacing w:after="480"/>
        <w:rPr>
          <w:sz w:val="28"/>
        </w:rPr>
      </w:pPr>
      <w:r w:rsidRPr="00A66326">
        <w:rPr>
          <w:b/>
          <w:sz w:val="28"/>
        </w:rPr>
        <w:t xml:space="preserve">Date:  </w:t>
      </w:r>
      <w:r>
        <w:rPr>
          <w:b/>
          <w:sz w:val="28"/>
        </w:rPr>
        <w:t>0</w:t>
      </w:r>
      <w:r w:rsidR="009505F9">
        <w:rPr>
          <w:b/>
          <w:sz w:val="28"/>
        </w:rPr>
        <w:t>8</w:t>
      </w:r>
      <w:r>
        <w:rPr>
          <w:b/>
          <w:sz w:val="28"/>
        </w:rPr>
        <w:t>/02/2021</w:t>
      </w:r>
    </w:p>
    <w:p w14:paraId="6E8C29DB" w14:textId="77777777" w:rsidR="00794D0D" w:rsidRPr="009505F9" w:rsidRDefault="00794D0D" w:rsidP="00794D0D">
      <w:pPr>
        <w:rPr>
          <w:sz w:val="28"/>
        </w:rPr>
      </w:pPr>
      <w:r w:rsidRPr="009505F9">
        <w:rPr>
          <w:b/>
          <w:sz w:val="28"/>
        </w:rPr>
        <w:t>Head of Internal Audit:  Susan Dixson</w:t>
      </w:r>
    </w:p>
    <w:p w14:paraId="122E993E" w14:textId="77777777" w:rsidR="00794D0D" w:rsidRPr="009505F9" w:rsidRDefault="00794D0D" w:rsidP="00794D0D">
      <w:r w:rsidRPr="009505F9">
        <w:t>Signed by the Head of Internal Audit</w:t>
      </w:r>
    </w:p>
    <w:p w14:paraId="5EA290D0" w14:textId="41E4B9EE" w:rsidR="009505F9" w:rsidRDefault="00794D0D" w:rsidP="009505F9">
      <w:pPr>
        <w:pStyle w:val="Heading2"/>
        <w:spacing w:after="240"/>
      </w:pPr>
      <w:r w:rsidRPr="009505F9">
        <w:lastRenderedPageBreak/>
        <w:t>Date: 0</w:t>
      </w:r>
      <w:r w:rsidR="009505F9" w:rsidRPr="009505F9">
        <w:t>8</w:t>
      </w:r>
      <w:r w:rsidRPr="009505F9">
        <w:t>/02/2021</w:t>
      </w:r>
    </w:p>
    <w:p w14:paraId="01B62C95" w14:textId="77777777" w:rsidR="009505F9" w:rsidRPr="00435B5D" w:rsidRDefault="009505F9" w:rsidP="009505F9">
      <w:pPr>
        <w:pStyle w:val="Heading2"/>
        <w:spacing w:before="480" w:after="240"/>
      </w:pPr>
      <w:r>
        <w:t>Mandatory Checks</w:t>
      </w:r>
    </w:p>
    <w:p w14:paraId="44D8F43F" w14:textId="77777777" w:rsidR="009505F9" w:rsidRPr="00A406F3" w:rsidRDefault="009505F9" w:rsidP="009505F9">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521EDD7E" w14:textId="6CBD81A4" w:rsidR="009505F9" w:rsidRPr="001C0E66" w:rsidRDefault="009505F9" w:rsidP="009505F9">
      <w:pPr>
        <w:pStyle w:val="Heading3"/>
        <w:spacing w:before="240"/>
      </w:pPr>
      <w:r w:rsidRPr="00202D79">
        <w:t>EqIA carried out:</w:t>
      </w:r>
      <w:r>
        <w:t xml:space="preserve">  </w:t>
      </w:r>
      <w:r w:rsidRPr="00202D79">
        <w:t>NO</w:t>
      </w:r>
      <w:r>
        <w:t xml:space="preserve"> </w:t>
      </w:r>
    </w:p>
    <w:p w14:paraId="05241BFE" w14:textId="61754F28" w:rsidR="009505F9" w:rsidRPr="00303FD6" w:rsidRDefault="009505F9" w:rsidP="009505F9">
      <w:pPr>
        <w:pStyle w:val="Heading3"/>
        <w:spacing w:before="240"/>
        <w:jc w:val="left"/>
        <w:rPr>
          <w:color w:val="FF0000"/>
        </w:rPr>
      </w:pPr>
      <w:r>
        <w:t>E</w:t>
      </w:r>
      <w:r w:rsidRPr="00202D79">
        <w:t>qIA cleared by:</w:t>
      </w:r>
      <w:r>
        <w:t xml:space="preserve">  </w:t>
      </w:r>
    </w:p>
    <w:p w14:paraId="4E494DA3" w14:textId="77777777" w:rsidR="003667E4" w:rsidRDefault="003667E4" w:rsidP="003667E4">
      <w:pPr>
        <w:outlineLvl w:val="0"/>
        <w:rPr>
          <w:rFonts w:ascii="Arial Black" w:hAnsi="Arial Black" w:cs="Arial"/>
          <w:b/>
          <w:bCs/>
          <w:sz w:val="36"/>
          <w:szCs w:val="36"/>
        </w:rPr>
      </w:pPr>
    </w:p>
    <w:p w14:paraId="6D345196" w14:textId="77777777" w:rsidR="003667E4" w:rsidRPr="00633A34" w:rsidRDefault="003667E4" w:rsidP="003667E4">
      <w:pPr>
        <w:outlineLvl w:val="0"/>
        <w:rPr>
          <w:rFonts w:ascii="Arial Black" w:hAnsi="Arial Black" w:cs="Arial"/>
          <w:b/>
          <w:bCs/>
          <w:sz w:val="36"/>
          <w:szCs w:val="36"/>
        </w:rPr>
      </w:pPr>
      <w:r w:rsidRPr="00633A34">
        <w:rPr>
          <w:rFonts w:ascii="Arial Black" w:hAnsi="Arial Black" w:cs="Arial"/>
          <w:b/>
          <w:bCs/>
          <w:sz w:val="36"/>
          <w:szCs w:val="36"/>
        </w:rPr>
        <w:t>Section 4 - Contact Details and Background Papers</w:t>
      </w:r>
    </w:p>
    <w:p w14:paraId="0B2ACC80" w14:textId="77777777" w:rsidR="003667E4" w:rsidRPr="00633A34" w:rsidRDefault="003667E4" w:rsidP="003667E4"/>
    <w:p w14:paraId="4188BB52" w14:textId="1E2029F9" w:rsidR="003667E4" w:rsidRPr="00633A34" w:rsidRDefault="003667E4" w:rsidP="00FF0CF3">
      <w:pPr>
        <w:tabs>
          <w:tab w:val="left" w:pos="1309"/>
          <w:tab w:val="left" w:pos="7106"/>
          <w:tab w:val="left" w:pos="8976"/>
        </w:tabs>
        <w:ind w:left="1309" w:right="257" w:hanging="1309"/>
        <w:rPr>
          <w:szCs w:val="24"/>
        </w:rPr>
      </w:pPr>
      <w:r w:rsidRPr="00633A34">
        <w:rPr>
          <w:b/>
          <w:sz w:val="28"/>
        </w:rPr>
        <w:t xml:space="preserve">Contact:  </w:t>
      </w:r>
      <w:r w:rsidR="009505F9" w:rsidRPr="0081234A">
        <w:rPr>
          <w:bCs/>
          <w:sz w:val="28"/>
        </w:rPr>
        <w:t>Dawn Calvert</w:t>
      </w:r>
      <w:r w:rsidR="0081234A" w:rsidRPr="0081234A">
        <w:rPr>
          <w:bCs/>
          <w:sz w:val="28"/>
        </w:rPr>
        <w:t>, Director of Finance</w:t>
      </w:r>
      <w:r w:rsidR="0081234A">
        <w:rPr>
          <w:bCs/>
          <w:sz w:val="28"/>
        </w:rPr>
        <w:t xml:space="preserve"> and Assurance</w:t>
      </w:r>
      <w:r w:rsidR="0081234A" w:rsidRPr="0081234A">
        <w:rPr>
          <w:bCs/>
          <w:sz w:val="28"/>
        </w:rPr>
        <w:t xml:space="preserve">, </w:t>
      </w:r>
      <w:hyperlink r:id="rId26" w:history="1">
        <w:r w:rsidR="0081234A" w:rsidRPr="002056D7">
          <w:rPr>
            <w:rStyle w:val="Hyperlink"/>
            <w:bCs/>
            <w:sz w:val="28"/>
          </w:rPr>
          <w:t>dawn.calvert@harrow.gov.uk</w:t>
        </w:r>
      </w:hyperlink>
      <w:r w:rsidR="0081234A">
        <w:rPr>
          <w:b/>
          <w:sz w:val="28"/>
        </w:rPr>
        <w:t xml:space="preserve"> </w:t>
      </w:r>
    </w:p>
    <w:p w14:paraId="35871879" w14:textId="77777777" w:rsidR="003667E4" w:rsidRPr="00633A34" w:rsidRDefault="003667E4" w:rsidP="003667E4">
      <w:pPr>
        <w:tabs>
          <w:tab w:val="left" w:pos="1309"/>
          <w:tab w:val="left" w:pos="7106"/>
          <w:tab w:val="left" w:pos="8976"/>
        </w:tabs>
        <w:ind w:left="1309" w:right="257" w:hanging="1309"/>
        <w:rPr>
          <w:sz w:val="28"/>
        </w:rPr>
      </w:pPr>
    </w:p>
    <w:p w14:paraId="1AC2B213" w14:textId="6C1EE2B2" w:rsidR="003667E4" w:rsidRPr="00633A34" w:rsidRDefault="003667E4" w:rsidP="003667E4">
      <w:pPr>
        <w:rPr>
          <w:b/>
          <w:sz w:val="28"/>
        </w:rPr>
      </w:pPr>
      <w:r w:rsidRPr="00633A34">
        <w:rPr>
          <w:b/>
          <w:sz w:val="28"/>
        </w:rPr>
        <w:t xml:space="preserve">Background Papers: </w:t>
      </w:r>
      <w:r w:rsidR="0081234A" w:rsidRPr="0081234A">
        <w:rPr>
          <w:bCs/>
          <w:sz w:val="28"/>
        </w:rPr>
        <w:t>None</w:t>
      </w:r>
    </w:p>
    <w:p w14:paraId="301D0FB7" w14:textId="77777777" w:rsidR="0081234A" w:rsidRPr="007C0DC3" w:rsidRDefault="0081234A" w:rsidP="0081234A">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5AA702A3" w14:textId="11841BC8" w:rsidR="0081234A" w:rsidRDefault="0081234A" w:rsidP="0081234A">
      <w:pPr>
        <w:pStyle w:val="Infotext"/>
        <w:spacing w:before="240"/>
      </w:pPr>
      <w:r w:rsidRPr="003D78F6">
        <w:rPr>
          <w:b/>
        </w:rPr>
        <w:t>NOT APPLICABLE</w:t>
      </w:r>
      <w:r>
        <w:rPr>
          <w:b/>
        </w:rPr>
        <w:t xml:space="preserve"> (</w:t>
      </w:r>
      <w:r w:rsidR="00887A59">
        <w:rPr>
          <w:b/>
        </w:rPr>
        <w:t xml:space="preserve">decisions </w:t>
      </w:r>
      <w:r>
        <w:rPr>
          <w:b/>
        </w:rPr>
        <w:t>reserved to Council)</w:t>
      </w:r>
    </w:p>
    <w:p w14:paraId="6DBAE9EB" w14:textId="77777777" w:rsidR="00333FAA" w:rsidRDefault="00333FAA" w:rsidP="00333FAA">
      <w:pPr>
        <w:pStyle w:val="Infotext"/>
        <w:rPr>
          <w:b/>
        </w:rPr>
      </w:pPr>
    </w:p>
    <w:p w14:paraId="6242CD06" w14:textId="77777777" w:rsidR="00D74C84" w:rsidRDefault="00D74C84" w:rsidP="001614E0"/>
    <w:p w14:paraId="37C050B2" w14:textId="77777777" w:rsidR="00D74C84" w:rsidRDefault="00D74C84">
      <w:r>
        <w:br w:type="page"/>
      </w:r>
    </w:p>
    <w:p w14:paraId="11363236" w14:textId="77777777" w:rsidR="00013A0A" w:rsidRPr="00114433" w:rsidRDefault="00C94622" w:rsidP="00013A0A">
      <w:pPr>
        <w:ind w:hanging="720"/>
        <w:jc w:val="right"/>
        <w:rPr>
          <w:b/>
          <w:sz w:val="32"/>
          <w:szCs w:val="32"/>
        </w:rPr>
      </w:pPr>
      <w:r>
        <w:rPr>
          <w:szCs w:val="24"/>
        </w:rPr>
        <w:lastRenderedPageBreak/>
        <w:tab/>
      </w:r>
      <w:r>
        <w:rPr>
          <w:szCs w:val="24"/>
        </w:rPr>
        <w:tab/>
      </w:r>
      <w:r w:rsidR="00013A0A" w:rsidRPr="00114433">
        <w:rPr>
          <w:b/>
          <w:sz w:val="32"/>
          <w:szCs w:val="32"/>
        </w:rPr>
        <w:t>APPENDIX A</w:t>
      </w:r>
    </w:p>
    <w:p w14:paraId="673108A6" w14:textId="77777777" w:rsidR="00013A0A" w:rsidRPr="00114433" w:rsidRDefault="00013A0A" w:rsidP="00013A0A">
      <w:pPr>
        <w:rPr>
          <w:szCs w:val="24"/>
        </w:rPr>
      </w:pPr>
      <w:r w:rsidRPr="00114433">
        <w:rPr>
          <w:b/>
          <w:sz w:val="32"/>
          <w:szCs w:val="32"/>
        </w:rPr>
        <w:t>LEGISLATION AND REGULATIONS IMPACTING ON TREASURY MANAGEMENT</w:t>
      </w:r>
    </w:p>
    <w:p w14:paraId="5F25A9A3" w14:textId="77777777" w:rsidR="00013A0A" w:rsidRPr="00114433" w:rsidRDefault="00013A0A" w:rsidP="00013A0A">
      <w:pPr>
        <w:rPr>
          <w:szCs w:val="24"/>
        </w:rPr>
      </w:pPr>
    </w:p>
    <w:p w14:paraId="42E9AA2E" w14:textId="5403B0D2" w:rsidR="00013A0A" w:rsidRDefault="00013A0A" w:rsidP="00013A0A">
      <w:pPr>
        <w:jc w:val="both"/>
        <w:rPr>
          <w:szCs w:val="24"/>
        </w:rPr>
      </w:pPr>
      <w:r w:rsidRPr="00114433">
        <w:rPr>
          <w:szCs w:val="24"/>
        </w:rPr>
        <w:t xml:space="preserve">The following items numbered 1 - 4 show the sequence of legislation and regulation impacting on the treasury management function. The sequence begins with primary legislation, moves through Government guidance and Chartered Institute of Public Finance and Accountancy (CIPFA) </w:t>
      </w:r>
      <w:r>
        <w:rPr>
          <w:szCs w:val="24"/>
        </w:rPr>
        <w:t>C</w:t>
      </w:r>
      <w:r w:rsidRPr="00114433">
        <w:rPr>
          <w:szCs w:val="24"/>
        </w:rPr>
        <w:t xml:space="preserve">odes of </w:t>
      </w:r>
      <w:r>
        <w:rPr>
          <w:szCs w:val="24"/>
        </w:rPr>
        <w:t>P</w:t>
      </w:r>
      <w:r w:rsidRPr="00114433">
        <w:rPr>
          <w:szCs w:val="24"/>
        </w:rPr>
        <w:t>ractice and finishes with implementation through the Council’s own Treasury Management Practices.</w:t>
      </w:r>
    </w:p>
    <w:p w14:paraId="2CA356F6" w14:textId="114BD9B6" w:rsidR="008E3E63" w:rsidRDefault="008E3E63" w:rsidP="00013A0A">
      <w:pPr>
        <w:jc w:val="both"/>
        <w:rPr>
          <w:szCs w:val="24"/>
        </w:rPr>
      </w:pPr>
    </w:p>
    <w:p w14:paraId="1ACA0177" w14:textId="77777777" w:rsidR="00EE5F66" w:rsidRDefault="00013A0A" w:rsidP="009E715C">
      <w:pPr>
        <w:pStyle w:val="ListParagraph"/>
        <w:numPr>
          <w:ilvl w:val="4"/>
          <w:numId w:val="51"/>
        </w:numPr>
        <w:ind w:left="567" w:hanging="567"/>
        <w:rPr>
          <w:b/>
          <w:sz w:val="28"/>
          <w:u w:val="single"/>
        </w:rPr>
      </w:pPr>
      <w:r w:rsidRPr="00EE5F66">
        <w:rPr>
          <w:b/>
          <w:sz w:val="28"/>
          <w:u w:val="single"/>
        </w:rPr>
        <w:t>Local Government Act 2003</w:t>
      </w:r>
    </w:p>
    <w:p w14:paraId="549DB58A" w14:textId="77777777" w:rsidR="00EE5F66" w:rsidRDefault="00EE5F66" w:rsidP="00EE5F66">
      <w:pPr>
        <w:rPr>
          <w:b/>
          <w:color w:val="0070C0"/>
        </w:rPr>
      </w:pPr>
    </w:p>
    <w:p w14:paraId="16AF71D4" w14:textId="43B2B9D2" w:rsidR="00013A0A" w:rsidRPr="00EE5F66" w:rsidRDefault="00EE5F66" w:rsidP="00EE5F66">
      <w:pPr>
        <w:rPr>
          <w:b/>
          <w:sz w:val="28"/>
          <w:u w:val="single"/>
        </w:rPr>
      </w:pPr>
      <w:r w:rsidRPr="00EE5F66">
        <w:rPr>
          <w:szCs w:val="24"/>
        </w:rPr>
        <w:t xml:space="preserve">Link: </w:t>
      </w:r>
      <w:hyperlink r:id="rId27" w:history="1">
        <w:r w:rsidR="00013A0A" w:rsidRPr="00EE5F66">
          <w:rPr>
            <w:b/>
            <w:color w:val="0070C0"/>
            <w:sz w:val="28"/>
            <w:u w:val="single"/>
          </w:rPr>
          <w:t>Local Government Act 2003</w:t>
        </w:r>
      </w:hyperlink>
    </w:p>
    <w:p w14:paraId="63AE9958" w14:textId="77777777" w:rsidR="00013A0A" w:rsidRPr="004544C2" w:rsidRDefault="00013A0A" w:rsidP="00013A0A">
      <w:pPr>
        <w:rPr>
          <w:b/>
          <w:sz w:val="28"/>
          <w:u w:val="single"/>
        </w:rPr>
      </w:pPr>
    </w:p>
    <w:p w14:paraId="3C3DC22D" w14:textId="77777777" w:rsidR="00013A0A" w:rsidRPr="00114433" w:rsidRDefault="00013A0A" w:rsidP="00013A0A">
      <w:pPr>
        <w:jc w:val="both"/>
        <w:rPr>
          <w:szCs w:val="24"/>
        </w:rPr>
      </w:pPr>
      <w:r w:rsidRPr="00114433">
        <w:rPr>
          <w:szCs w:val="24"/>
        </w:rPr>
        <w:t xml:space="preserve">Below is a summary of the provisions in the Act dealing with treasury management. </w:t>
      </w:r>
    </w:p>
    <w:p w14:paraId="284EFFD5" w14:textId="77777777" w:rsidR="00013A0A" w:rsidRPr="00114433" w:rsidRDefault="00013A0A" w:rsidP="00013A0A">
      <w:pPr>
        <w:jc w:val="both"/>
        <w:rPr>
          <w:szCs w:val="24"/>
        </w:rPr>
      </w:pPr>
    </w:p>
    <w:p w14:paraId="79B94CCA" w14:textId="480AB213" w:rsidR="00013A0A" w:rsidRPr="00114433" w:rsidRDefault="00013A0A" w:rsidP="00013A0A">
      <w:pPr>
        <w:jc w:val="both"/>
        <w:rPr>
          <w:szCs w:val="24"/>
        </w:rPr>
      </w:pPr>
      <w:r w:rsidRPr="00114433">
        <w:rPr>
          <w:szCs w:val="24"/>
        </w:rPr>
        <w:t xml:space="preserve">In </w:t>
      </w:r>
      <w:r w:rsidR="00887A59" w:rsidRPr="00114433">
        <w:rPr>
          <w:szCs w:val="24"/>
        </w:rPr>
        <w:t>addition,</w:t>
      </w:r>
      <w:bookmarkStart w:id="15" w:name="_GoBack"/>
      <w:bookmarkEnd w:id="15"/>
      <w:r w:rsidRPr="00114433">
        <w:rPr>
          <w:szCs w:val="24"/>
        </w:rPr>
        <w:t xml:space="preserve"> the Secretary of State is empowered to define the provisions through further regulations and guidance which he has subsequently done through statutory instruments,</w:t>
      </w:r>
      <w:r>
        <w:rPr>
          <w:szCs w:val="24"/>
        </w:rPr>
        <w:t xml:space="preserve"> Ministry of Housing, </w:t>
      </w:r>
      <w:r w:rsidRPr="00114433">
        <w:rPr>
          <w:szCs w:val="24"/>
        </w:rPr>
        <w:t xml:space="preserve">Communities and Local Government Guidance and CIPFA </w:t>
      </w:r>
      <w:r>
        <w:rPr>
          <w:szCs w:val="24"/>
        </w:rPr>
        <w:t>C</w:t>
      </w:r>
      <w:r w:rsidRPr="00114433">
        <w:rPr>
          <w:szCs w:val="24"/>
        </w:rPr>
        <w:t xml:space="preserve">odes of </w:t>
      </w:r>
      <w:r>
        <w:rPr>
          <w:szCs w:val="24"/>
        </w:rPr>
        <w:t>P</w:t>
      </w:r>
      <w:r w:rsidRPr="00114433">
        <w:rPr>
          <w:szCs w:val="24"/>
        </w:rPr>
        <w:t>ractice.</w:t>
      </w:r>
    </w:p>
    <w:p w14:paraId="54C3ED59" w14:textId="77777777" w:rsidR="00013A0A" w:rsidRPr="00114433" w:rsidRDefault="00013A0A" w:rsidP="00013A0A">
      <w:pPr>
        <w:rPr>
          <w:szCs w:val="24"/>
        </w:rPr>
      </w:pPr>
    </w:p>
    <w:p w14:paraId="7B7554DB" w14:textId="77777777" w:rsidR="00013A0A" w:rsidRPr="00114433" w:rsidRDefault="00013A0A" w:rsidP="00013A0A">
      <w:pPr>
        <w:rPr>
          <w:b/>
          <w:lang w:val="en" w:eastAsia="en-GB"/>
        </w:rPr>
      </w:pPr>
      <w:r w:rsidRPr="00114433">
        <w:rPr>
          <w:b/>
          <w:lang w:val="en" w:eastAsia="en-GB"/>
        </w:rPr>
        <w:t>Power to borrow</w:t>
      </w:r>
    </w:p>
    <w:p w14:paraId="5F455A7B" w14:textId="77777777" w:rsidR="00013A0A" w:rsidRPr="00114433" w:rsidRDefault="00013A0A" w:rsidP="00013A0A">
      <w:pPr>
        <w:rPr>
          <w:lang w:val="en" w:eastAsia="en-GB"/>
        </w:rPr>
      </w:pPr>
      <w:r w:rsidRPr="00114433">
        <w:rPr>
          <w:lang w:val="en" w:eastAsia="en-GB"/>
        </w:rPr>
        <w:t>The Council has the power to borrow for purposes relevant to its functions and for normal treasury management purposes – for example, to refinance existing debt.</w:t>
      </w:r>
    </w:p>
    <w:p w14:paraId="02AD0385" w14:textId="77777777" w:rsidR="00013A0A" w:rsidRPr="00114433" w:rsidRDefault="00013A0A" w:rsidP="00013A0A">
      <w:pPr>
        <w:rPr>
          <w:lang w:val="en" w:eastAsia="en-GB"/>
        </w:rPr>
      </w:pPr>
    </w:p>
    <w:p w14:paraId="426CA8D5" w14:textId="77777777" w:rsidR="00013A0A" w:rsidRPr="00114433" w:rsidRDefault="00013A0A" w:rsidP="00013A0A">
      <w:pPr>
        <w:rPr>
          <w:b/>
          <w:lang w:val="en" w:eastAsia="en-GB"/>
        </w:rPr>
      </w:pPr>
      <w:r w:rsidRPr="00114433">
        <w:rPr>
          <w:b/>
          <w:lang w:val="en" w:eastAsia="en-GB"/>
        </w:rPr>
        <w:t>Control of borrowing</w:t>
      </w:r>
    </w:p>
    <w:p w14:paraId="5D95D0F7" w14:textId="77777777" w:rsidR="00013A0A" w:rsidRPr="00114433" w:rsidRDefault="00013A0A" w:rsidP="00013A0A">
      <w:pPr>
        <w:jc w:val="both"/>
        <w:rPr>
          <w:lang w:val="en" w:eastAsia="en-GB"/>
        </w:rPr>
      </w:pPr>
      <w:r w:rsidRPr="00114433">
        <w:rPr>
          <w:lang w:val="en" w:eastAsia="en-GB"/>
        </w:rPr>
        <w:t>The main borrowing control is the duty not to breach the prudential and national limits as described below.</w:t>
      </w:r>
    </w:p>
    <w:p w14:paraId="577E7F8D" w14:textId="77777777" w:rsidR="00013A0A" w:rsidRPr="00114433" w:rsidRDefault="00013A0A" w:rsidP="00013A0A">
      <w:pPr>
        <w:jc w:val="both"/>
        <w:rPr>
          <w:lang w:val="en" w:eastAsia="en-GB"/>
        </w:rPr>
      </w:pPr>
      <w:r w:rsidRPr="00114433">
        <w:rPr>
          <w:lang w:val="en" w:eastAsia="en-GB"/>
        </w:rPr>
        <w:t>The Council is free to seek loans from any source but is prohibited from borrowing in foreign currencies without the consent of Treasury, since adverse exchange rate movements could leave it owing more than it had borrowed.</w:t>
      </w:r>
    </w:p>
    <w:p w14:paraId="2AF02CAD" w14:textId="77777777" w:rsidR="00013A0A" w:rsidRPr="00114433" w:rsidRDefault="00013A0A" w:rsidP="00013A0A">
      <w:pPr>
        <w:jc w:val="both"/>
        <w:rPr>
          <w:lang w:val="en" w:eastAsia="en-GB"/>
        </w:rPr>
      </w:pPr>
      <w:r w:rsidRPr="00114433">
        <w:rPr>
          <w:lang w:val="en" w:eastAsia="en-GB"/>
        </w:rPr>
        <w:t>All of the Council’s revenues serve as security for its borrowing. The mortgaging of property is prohibited.</w:t>
      </w:r>
    </w:p>
    <w:p w14:paraId="5AEEA444" w14:textId="77777777" w:rsidR="00013A0A" w:rsidRPr="00114433" w:rsidRDefault="00013A0A" w:rsidP="00013A0A">
      <w:pPr>
        <w:jc w:val="both"/>
        <w:rPr>
          <w:lang w:val="en" w:eastAsia="en-GB"/>
        </w:rPr>
      </w:pPr>
      <w:r w:rsidRPr="00114433">
        <w:rPr>
          <w:lang w:val="en" w:eastAsia="en-GB"/>
        </w:rPr>
        <w:t>It is unlawful for the Council to ‘securitise’, that is, to sell future revenue streams such as housing rents for immediate lump-sums.</w:t>
      </w:r>
    </w:p>
    <w:p w14:paraId="1020A01E" w14:textId="77777777" w:rsidR="00013A0A" w:rsidRPr="00114433" w:rsidRDefault="00013A0A" w:rsidP="00013A0A">
      <w:pPr>
        <w:rPr>
          <w:b/>
          <w:lang w:val="en" w:eastAsia="en-GB"/>
        </w:rPr>
      </w:pPr>
    </w:p>
    <w:p w14:paraId="4EAB6974" w14:textId="77777777" w:rsidR="00013A0A" w:rsidRPr="00114433" w:rsidRDefault="00013A0A" w:rsidP="00013A0A">
      <w:pPr>
        <w:rPr>
          <w:b/>
          <w:lang w:val="en" w:eastAsia="en-GB"/>
        </w:rPr>
      </w:pPr>
      <w:r w:rsidRPr="00114433">
        <w:rPr>
          <w:b/>
          <w:lang w:val="en" w:eastAsia="en-GB"/>
        </w:rPr>
        <w:t>Affordable borrowing limit</w:t>
      </w:r>
    </w:p>
    <w:p w14:paraId="20F956B7" w14:textId="77777777" w:rsidR="00013A0A" w:rsidRPr="00114433" w:rsidRDefault="00013A0A" w:rsidP="00013A0A">
      <w:pPr>
        <w:jc w:val="both"/>
        <w:rPr>
          <w:lang w:val="en" w:eastAsia="en-GB"/>
        </w:rPr>
      </w:pPr>
      <w:r w:rsidRPr="00114433">
        <w:rPr>
          <w:lang w:val="en" w:eastAsia="en-GB"/>
        </w:rPr>
        <w:t>The legislation imposes a broad duty for the Council to determine and keep under review the amount it can afford to borrow.  The Secretary of State has subsequently defined this duty in more detail through the Prudential Code produced by CIPFA, which lays down the practical rules for deciding whether borrowing is affordable.</w:t>
      </w:r>
    </w:p>
    <w:p w14:paraId="18808093" w14:textId="4EABF9A4" w:rsidR="00013A0A" w:rsidRPr="00114433" w:rsidRDefault="00013A0A" w:rsidP="00013A0A">
      <w:pPr>
        <w:jc w:val="both"/>
        <w:rPr>
          <w:lang w:val="en" w:eastAsia="en-GB"/>
        </w:rPr>
      </w:pPr>
      <w:r w:rsidRPr="00114433">
        <w:rPr>
          <w:lang w:val="en" w:eastAsia="en-GB"/>
        </w:rPr>
        <w:t xml:space="preserve">It is for the Council (at a meeting of the full Council) to set its own ‘prudential’ </w:t>
      </w:r>
      <w:r w:rsidR="00362B79">
        <w:rPr>
          <w:lang w:val="en" w:eastAsia="en-GB"/>
        </w:rPr>
        <w:t xml:space="preserve">authorised </w:t>
      </w:r>
      <w:r w:rsidRPr="00114433">
        <w:rPr>
          <w:lang w:val="en" w:eastAsia="en-GB"/>
        </w:rPr>
        <w:t xml:space="preserve">limit in accordance with these rules, subject only to the scrutiny of its external auditor. The Council is then free to borrow up to that limit without Government consent. The Council is free to vary the limit during the year, if there is good reason. </w:t>
      </w:r>
    </w:p>
    <w:p w14:paraId="14D155EE" w14:textId="77777777" w:rsidR="00013A0A" w:rsidRPr="00114433" w:rsidRDefault="00013A0A" w:rsidP="00013A0A">
      <w:pPr>
        <w:jc w:val="both"/>
        <w:rPr>
          <w:lang w:val="en" w:eastAsia="en-GB"/>
        </w:rPr>
      </w:pPr>
    </w:p>
    <w:p w14:paraId="3DDA4CB9" w14:textId="77777777" w:rsidR="00013A0A" w:rsidRPr="00114433" w:rsidRDefault="00013A0A" w:rsidP="00013A0A">
      <w:pPr>
        <w:jc w:val="both"/>
        <w:rPr>
          <w:lang w:val="en" w:eastAsia="en-GB"/>
        </w:rPr>
      </w:pPr>
      <w:r w:rsidRPr="00114433">
        <w:rPr>
          <w:lang w:val="en" w:eastAsia="en-GB"/>
        </w:rPr>
        <w:lastRenderedPageBreak/>
        <w:t xml:space="preserve">Requirements in other legislation for the Council to balance its revenue budget prevent the long-term financing of revenue expenditure by borrowing. </w:t>
      </w:r>
    </w:p>
    <w:p w14:paraId="7ABE370F" w14:textId="77777777" w:rsidR="00013A0A" w:rsidRPr="00114433" w:rsidRDefault="00013A0A" w:rsidP="00013A0A">
      <w:pPr>
        <w:jc w:val="both"/>
        <w:rPr>
          <w:lang w:val="en" w:eastAsia="en-GB"/>
        </w:rPr>
      </w:pPr>
      <w:r w:rsidRPr="00114433">
        <w:rPr>
          <w:lang w:val="en" w:eastAsia="en-GB"/>
        </w:rPr>
        <w:t>However the legislation does confer limited capacity to borrow short-term for revenue needs in the interests of cash-flow management and foreseeable requirements for temporary revenue borrowing are allowed for when borrowing limits are set by the Council.</w:t>
      </w:r>
    </w:p>
    <w:p w14:paraId="6E534331" w14:textId="77777777" w:rsidR="00013A0A" w:rsidRPr="00114433" w:rsidRDefault="00013A0A" w:rsidP="00013A0A">
      <w:pPr>
        <w:jc w:val="both"/>
        <w:rPr>
          <w:lang w:val="en" w:eastAsia="en-GB"/>
        </w:rPr>
      </w:pPr>
    </w:p>
    <w:p w14:paraId="0B459BAD" w14:textId="77777777" w:rsidR="00013A0A" w:rsidRPr="00114433" w:rsidRDefault="00013A0A" w:rsidP="00013A0A">
      <w:pPr>
        <w:jc w:val="both"/>
        <w:rPr>
          <w:lang w:val="en" w:eastAsia="en-GB"/>
        </w:rPr>
      </w:pPr>
      <w:r w:rsidRPr="00114433">
        <w:rPr>
          <w:lang w:val="en" w:eastAsia="en-GB"/>
        </w:rPr>
        <w:t>The Council is allowed extra flexibility in the event of unforeseen needs, by being allowed to increase borrowing limits by the amounts of any payments which are due in the year but have not yet been received.</w:t>
      </w:r>
    </w:p>
    <w:p w14:paraId="0871EC7B" w14:textId="77777777" w:rsidR="00013A0A" w:rsidRPr="00114433" w:rsidRDefault="00013A0A" w:rsidP="00013A0A">
      <w:pPr>
        <w:rPr>
          <w:b/>
          <w:lang w:val="en" w:eastAsia="en-GB"/>
        </w:rPr>
      </w:pPr>
    </w:p>
    <w:p w14:paraId="1589D9BE" w14:textId="77777777" w:rsidR="00013A0A" w:rsidRPr="00114433" w:rsidRDefault="00013A0A" w:rsidP="00013A0A">
      <w:pPr>
        <w:rPr>
          <w:b/>
          <w:lang w:val="en" w:eastAsia="en-GB"/>
        </w:rPr>
      </w:pPr>
      <w:r w:rsidRPr="00114433">
        <w:rPr>
          <w:b/>
          <w:lang w:val="en" w:eastAsia="en-GB"/>
        </w:rPr>
        <w:t>Imposition of borrowing limits</w:t>
      </w:r>
    </w:p>
    <w:p w14:paraId="64730432" w14:textId="77777777" w:rsidR="00013A0A" w:rsidRPr="00114433" w:rsidRDefault="00013A0A" w:rsidP="00013A0A">
      <w:pPr>
        <w:jc w:val="both"/>
        <w:rPr>
          <w:lang w:val="en" w:eastAsia="en-GB"/>
        </w:rPr>
      </w:pPr>
      <w:r w:rsidRPr="00114433">
        <w:rPr>
          <w:lang w:val="en" w:eastAsia="en-GB"/>
        </w:rPr>
        <w:t>The Government has retained reserve power to impose ‘longstop’ limits for national economic reasons on all local authorities’ borrowing and these would override authorities’ self-determined prudential limits. Since this power has not yet been used the potential impact on the Council is not known.</w:t>
      </w:r>
    </w:p>
    <w:p w14:paraId="2B74D885" w14:textId="77777777" w:rsidR="00013A0A" w:rsidRPr="00114433" w:rsidRDefault="00013A0A" w:rsidP="00013A0A">
      <w:pPr>
        <w:rPr>
          <w:lang w:val="en" w:eastAsia="en-GB"/>
        </w:rPr>
      </w:pPr>
    </w:p>
    <w:p w14:paraId="3CA31E70" w14:textId="77777777" w:rsidR="00013A0A" w:rsidRPr="00114433" w:rsidRDefault="00013A0A" w:rsidP="00013A0A">
      <w:pPr>
        <w:rPr>
          <w:b/>
          <w:lang w:val="en" w:eastAsia="en-GB"/>
        </w:rPr>
      </w:pPr>
      <w:r w:rsidRPr="00114433">
        <w:rPr>
          <w:b/>
          <w:lang w:val="en" w:eastAsia="en-GB"/>
        </w:rPr>
        <w:t>Credit arrangements</w:t>
      </w:r>
    </w:p>
    <w:p w14:paraId="58D38A66" w14:textId="77777777" w:rsidR="00013A0A" w:rsidRPr="00114433" w:rsidRDefault="00013A0A" w:rsidP="00013A0A">
      <w:pPr>
        <w:jc w:val="both"/>
        <w:rPr>
          <w:lang w:val="en" w:eastAsia="en-GB"/>
        </w:rPr>
      </w:pPr>
      <w:r w:rsidRPr="00114433">
        <w:rPr>
          <w:lang w:val="en" w:eastAsia="en-GB"/>
        </w:rPr>
        <w:t>Credit arrangements (e.g. property leasing, PFI and hire purchase) are treated like borrowing and the affordability assessment must take account not only of borrowing but also of credit arrangements. In addition, any national limit imposed under the reserve powers would apply to both borrowing and credit.</w:t>
      </w:r>
    </w:p>
    <w:p w14:paraId="4671517B" w14:textId="77777777" w:rsidR="00013A0A" w:rsidRPr="00114433" w:rsidRDefault="00013A0A" w:rsidP="00013A0A">
      <w:pPr>
        <w:rPr>
          <w:lang w:val="en" w:eastAsia="en-GB"/>
        </w:rPr>
      </w:pPr>
    </w:p>
    <w:p w14:paraId="044FC124" w14:textId="77777777" w:rsidR="00013A0A" w:rsidRPr="00114433" w:rsidRDefault="00013A0A" w:rsidP="00013A0A">
      <w:pPr>
        <w:rPr>
          <w:b/>
          <w:lang w:val="en" w:eastAsia="en-GB"/>
        </w:rPr>
      </w:pPr>
      <w:r w:rsidRPr="00114433">
        <w:rPr>
          <w:b/>
          <w:lang w:val="en" w:eastAsia="en-GB"/>
        </w:rPr>
        <w:t>Power to invest</w:t>
      </w:r>
    </w:p>
    <w:p w14:paraId="02B1334F" w14:textId="0DF5D90B" w:rsidR="00013A0A" w:rsidRDefault="00013A0A" w:rsidP="00013A0A">
      <w:pPr>
        <w:jc w:val="both"/>
        <w:rPr>
          <w:lang w:val="en" w:eastAsia="en-GB"/>
        </w:rPr>
      </w:pPr>
      <w:r w:rsidRPr="00114433">
        <w:rPr>
          <w:lang w:val="en" w:eastAsia="en-GB"/>
        </w:rPr>
        <w:t>The Council has the power to invest, not only for any purpose relevant to its functions but also for the purpose of the prudential management of its financial affairs.</w:t>
      </w:r>
    </w:p>
    <w:p w14:paraId="2B944673" w14:textId="725F803E" w:rsidR="00EE5F66" w:rsidRDefault="00EE5F66" w:rsidP="00013A0A">
      <w:pPr>
        <w:jc w:val="both"/>
        <w:rPr>
          <w:lang w:val="en" w:eastAsia="en-GB"/>
        </w:rPr>
      </w:pPr>
    </w:p>
    <w:p w14:paraId="54C7BBE4" w14:textId="3F8803EA" w:rsidR="00EE5F66" w:rsidRPr="00BF7865" w:rsidRDefault="00EE5F66" w:rsidP="00EE5F66">
      <w:pPr>
        <w:rPr>
          <w:b/>
          <w:lang w:val="en" w:eastAsia="en-GB"/>
        </w:rPr>
      </w:pPr>
      <w:r w:rsidRPr="00BF7865">
        <w:rPr>
          <w:b/>
          <w:lang w:val="en" w:eastAsia="en-GB"/>
        </w:rPr>
        <w:t xml:space="preserve">Guidance </w:t>
      </w:r>
    </w:p>
    <w:p w14:paraId="2A88077D" w14:textId="54731A8E" w:rsidR="00EE5F66" w:rsidRPr="00BF7865" w:rsidRDefault="00EE5F66" w:rsidP="00EE5F66">
      <w:pPr>
        <w:rPr>
          <w:bCs/>
          <w:lang w:val="en" w:eastAsia="en-GB"/>
        </w:rPr>
      </w:pPr>
      <w:r w:rsidRPr="00BF7865">
        <w:rPr>
          <w:bCs/>
          <w:lang w:val="en" w:eastAsia="en-GB"/>
        </w:rPr>
        <w:t>The Act contains a requirement for the Council to have regard to guidance:</w:t>
      </w:r>
    </w:p>
    <w:p w14:paraId="5ECE9A18" w14:textId="550559C0" w:rsidR="00EE5F66" w:rsidRPr="00BF7865" w:rsidRDefault="00EE5F66" w:rsidP="009E715C">
      <w:pPr>
        <w:pStyle w:val="ListParagraph"/>
        <w:numPr>
          <w:ilvl w:val="0"/>
          <w:numId w:val="52"/>
        </w:numPr>
        <w:rPr>
          <w:bCs/>
          <w:lang w:val="en" w:eastAsia="en-GB"/>
        </w:rPr>
      </w:pPr>
      <w:r w:rsidRPr="00BF7865">
        <w:rPr>
          <w:bCs/>
          <w:lang w:val="en" w:eastAsia="en-GB"/>
        </w:rPr>
        <w:t>Issued directly by the Secretary of State</w:t>
      </w:r>
    </w:p>
    <w:p w14:paraId="4950EF0B" w14:textId="7821BCB6" w:rsidR="0023139A" w:rsidRPr="00BF7865" w:rsidRDefault="0023139A" w:rsidP="009E715C">
      <w:pPr>
        <w:pStyle w:val="ListParagraph"/>
        <w:numPr>
          <w:ilvl w:val="1"/>
          <w:numId w:val="52"/>
        </w:numPr>
        <w:rPr>
          <w:bCs/>
          <w:i/>
          <w:iCs/>
          <w:lang w:val="en" w:eastAsia="en-GB"/>
        </w:rPr>
      </w:pPr>
      <w:r w:rsidRPr="00BF7865">
        <w:rPr>
          <w:bCs/>
          <w:i/>
          <w:iCs/>
          <w:lang w:val="en" w:eastAsia="en-GB"/>
        </w:rPr>
        <w:t>MHCLG Investment Guidance</w:t>
      </w:r>
    </w:p>
    <w:p w14:paraId="41519AF0" w14:textId="1D6A6BA5" w:rsidR="0023139A" w:rsidRPr="00BF7865" w:rsidRDefault="0023139A" w:rsidP="009E715C">
      <w:pPr>
        <w:pStyle w:val="ListParagraph"/>
        <w:numPr>
          <w:ilvl w:val="1"/>
          <w:numId w:val="52"/>
        </w:numPr>
        <w:rPr>
          <w:bCs/>
          <w:i/>
          <w:iCs/>
          <w:lang w:val="en" w:eastAsia="en-GB"/>
        </w:rPr>
      </w:pPr>
      <w:r w:rsidRPr="00BF7865">
        <w:rPr>
          <w:bCs/>
          <w:i/>
          <w:iCs/>
          <w:lang w:val="en" w:eastAsia="en-GB"/>
        </w:rPr>
        <w:t>MHCLG MRP Guidance</w:t>
      </w:r>
    </w:p>
    <w:p w14:paraId="2BC62755" w14:textId="16B04839" w:rsidR="00EE5F66" w:rsidRPr="00BF7865" w:rsidRDefault="00EE5F66" w:rsidP="009E715C">
      <w:pPr>
        <w:pStyle w:val="ListParagraph"/>
        <w:numPr>
          <w:ilvl w:val="0"/>
          <w:numId w:val="52"/>
        </w:numPr>
        <w:rPr>
          <w:bCs/>
          <w:lang w:val="en" w:eastAsia="en-GB"/>
        </w:rPr>
      </w:pPr>
      <w:r w:rsidRPr="00BF7865">
        <w:rPr>
          <w:bCs/>
          <w:lang w:val="en" w:eastAsia="en-GB"/>
        </w:rPr>
        <w:t>Other guidance the Secretary of State may refer to through regulations</w:t>
      </w:r>
    </w:p>
    <w:p w14:paraId="6FA802A0" w14:textId="09D2F850" w:rsidR="00EE5F66" w:rsidRPr="00BF7865" w:rsidRDefault="0023139A" w:rsidP="009E715C">
      <w:pPr>
        <w:pStyle w:val="ListParagraph"/>
        <w:numPr>
          <w:ilvl w:val="1"/>
          <w:numId w:val="52"/>
        </w:numPr>
        <w:rPr>
          <w:bCs/>
          <w:lang w:val="en" w:eastAsia="en-GB"/>
        </w:rPr>
      </w:pPr>
      <w:r w:rsidRPr="00BF7865">
        <w:rPr>
          <w:bCs/>
          <w:lang w:val="en" w:eastAsia="en-GB"/>
        </w:rPr>
        <w:t>The Local Authorities (Capital Finance and Accounting) (England) Regulations 2003</w:t>
      </w:r>
    </w:p>
    <w:p w14:paraId="7D8CDCB1" w14:textId="63517A71" w:rsidR="0023139A" w:rsidRPr="00BF7865" w:rsidRDefault="0023139A" w:rsidP="009E715C">
      <w:pPr>
        <w:pStyle w:val="ListParagraph"/>
        <w:numPr>
          <w:ilvl w:val="2"/>
          <w:numId w:val="52"/>
        </w:numPr>
        <w:rPr>
          <w:bCs/>
          <w:i/>
          <w:iCs/>
          <w:lang w:val="en" w:eastAsia="en-GB"/>
        </w:rPr>
      </w:pPr>
      <w:r w:rsidRPr="00BF7865">
        <w:rPr>
          <w:bCs/>
          <w:i/>
          <w:iCs/>
          <w:lang w:val="en" w:eastAsia="en-GB"/>
        </w:rPr>
        <w:t>CIPFA Prudential Code</w:t>
      </w:r>
    </w:p>
    <w:p w14:paraId="47D31E30" w14:textId="5773D726" w:rsidR="0023139A" w:rsidRPr="00BF7865" w:rsidRDefault="0023139A" w:rsidP="009E715C">
      <w:pPr>
        <w:pStyle w:val="ListParagraph"/>
        <w:numPr>
          <w:ilvl w:val="2"/>
          <w:numId w:val="52"/>
        </w:numPr>
        <w:rPr>
          <w:bCs/>
          <w:i/>
          <w:iCs/>
          <w:lang w:val="en" w:eastAsia="en-GB"/>
        </w:rPr>
      </w:pPr>
      <w:r w:rsidRPr="00BF7865">
        <w:rPr>
          <w:bCs/>
          <w:i/>
          <w:iCs/>
          <w:lang w:val="en" w:eastAsia="en-GB"/>
        </w:rPr>
        <w:t>CIPFA Treasury Management Code of Practice</w:t>
      </w:r>
    </w:p>
    <w:p w14:paraId="13F683AA" w14:textId="77777777" w:rsidR="0023139A" w:rsidRPr="00BF7865" w:rsidRDefault="0023139A" w:rsidP="0023139A">
      <w:pPr>
        <w:pStyle w:val="ListParagraph"/>
        <w:ind w:left="1440"/>
        <w:rPr>
          <w:bCs/>
          <w:lang w:val="en" w:eastAsia="en-GB"/>
        </w:rPr>
      </w:pPr>
    </w:p>
    <w:p w14:paraId="163306A7" w14:textId="3DCFBB43" w:rsidR="00013A0A" w:rsidRPr="00BF7865" w:rsidRDefault="00EE5F66" w:rsidP="009E715C">
      <w:pPr>
        <w:pStyle w:val="ListParagraph"/>
        <w:numPr>
          <w:ilvl w:val="4"/>
          <w:numId w:val="51"/>
        </w:numPr>
        <w:ind w:left="567" w:hanging="567"/>
        <w:rPr>
          <w:b/>
          <w:sz w:val="28"/>
          <w:u w:val="single"/>
        </w:rPr>
      </w:pPr>
      <w:r w:rsidRPr="00BF7865">
        <w:rPr>
          <w:b/>
          <w:sz w:val="28"/>
          <w:u w:val="single"/>
        </w:rPr>
        <w:t>Ministry of Housing,</w:t>
      </w:r>
      <w:r w:rsidR="00013A0A" w:rsidRPr="00BF7865">
        <w:rPr>
          <w:b/>
          <w:sz w:val="28"/>
          <w:u w:val="single"/>
        </w:rPr>
        <w:t xml:space="preserve"> Communities and Local Government Investment Guidance (201</w:t>
      </w:r>
      <w:r w:rsidR="00362B79" w:rsidRPr="00BF7865">
        <w:rPr>
          <w:b/>
          <w:sz w:val="28"/>
          <w:u w:val="single"/>
        </w:rPr>
        <w:t>8</w:t>
      </w:r>
      <w:r w:rsidR="00013A0A" w:rsidRPr="00BF7865">
        <w:rPr>
          <w:b/>
          <w:sz w:val="28"/>
          <w:u w:val="single"/>
        </w:rPr>
        <w:t>)</w:t>
      </w:r>
    </w:p>
    <w:p w14:paraId="3E92E84B" w14:textId="77777777" w:rsidR="00013A0A" w:rsidRPr="00BF7865" w:rsidRDefault="00013A0A" w:rsidP="00013A0A">
      <w:pPr>
        <w:rPr>
          <w:b/>
          <w:sz w:val="28"/>
          <w:u w:val="single"/>
        </w:rPr>
      </w:pPr>
    </w:p>
    <w:p w14:paraId="6D804CBA" w14:textId="0CE9015B" w:rsidR="00013A0A" w:rsidRPr="00BF7865" w:rsidRDefault="00013A0A" w:rsidP="00013A0A">
      <w:pPr>
        <w:shd w:val="clear" w:color="auto" w:fill="FFFFFF"/>
        <w:spacing w:line="288" w:lineRule="atLeast"/>
        <w:jc w:val="both"/>
        <w:outlineLvl w:val="5"/>
        <w:rPr>
          <w:rFonts w:cs="Arial"/>
          <w:color w:val="000000"/>
          <w:szCs w:val="24"/>
          <w:lang w:val="en" w:eastAsia="en-GB"/>
        </w:rPr>
      </w:pPr>
      <w:r w:rsidRPr="00BF7865">
        <w:rPr>
          <w:rFonts w:cs="Arial"/>
          <w:color w:val="000000"/>
          <w:szCs w:val="24"/>
          <w:lang w:val="en" w:eastAsia="en-GB"/>
        </w:rPr>
        <w:t xml:space="preserve">The Guidance recommends that for each financial year the Council should prepare at least one </w:t>
      </w:r>
      <w:r w:rsidR="00EE5F66" w:rsidRPr="00BF7865">
        <w:rPr>
          <w:rFonts w:cs="Arial"/>
          <w:color w:val="000000"/>
          <w:szCs w:val="24"/>
          <w:lang w:val="en" w:eastAsia="en-GB"/>
        </w:rPr>
        <w:t>I</w:t>
      </w:r>
      <w:r w:rsidRPr="00BF7865">
        <w:rPr>
          <w:rFonts w:cs="Arial"/>
          <w:color w:val="000000"/>
          <w:szCs w:val="24"/>
          <w:lang w:val="en" w:eastAsia="en-GB"/>
        </w:rPr>
        <w:t>nvestment Strategy to be approved before the start of the year. The Strategy must cover:</w:t>
      </w:r>
    </w:p>
    <w:p w14:paraId="6E0C66A4" w14:textId="77777777" w:rsidR="00013A0A" w:rsidRPr="00BF7865" w:rsidRDefault="00013A0A" w:rsidP="00013A0A">
      <w:pPr>
        <w:shd w:val="clear" w:color="auto" w:fill="FFFFFF"/>
        <w:spacing w:line="288" w:lineRule="atLeast"/>
        <w:outlineLvl w:val="5"/>
        <w:rPr>
          <w:rFonts w:cs="Arial"/>
          <w:color w:val="000000"/>
          <w:szCs w:val="24"/>
          <w:lang w:val="en" w:eastAsia="en-GB"/>
        </w:rPr>
      </w:pPr>
    </w:p>
    <w:p w14:paraId="6CCA9125" w14:textId="77777777" w:rsidR="00013A0A" w:rsidRPr="00BF7865" w:rsidRDefault="00013A0A" w:rsidP="008E3E63">
      <w:pPr>
        <w:numPr>
          <w:ilvl w:val="0"/>
          <w:numId w:val="30"/>
        </w:numPr>
        <w:shd w:val="clear" w:color="auto" w:fill="FFFFFF"/>
        <w:tabs>
          <w:tab w:val="clear" w:pos="720"/>
          <w:tab w:val="num" w:pos="993"/>
        </w:tabs>
        <w:spacing w:line="288" w:lineRule="atLeast"/>
        <w:ind w:left="567" w:firstLine="0"/>
        <w:outlineLvl w:val="5"/>
        <w:rPr>
          <w:rFonts w:cs="Arial"/>
          <w:b/>
          <w:color w:val="000000"/>
          <w:szCs w:val="24"/>
          <w:lang w:val="en" w:eastAsia="en-GB"/>
        </w:rPr>
      </w:pPr>
      <w:r w:rsidRPr="00BF7865">
        <w:rPr>
          <w:rFonts w:cs="Arial"/>
          <w:b/>
          <w:color w:val="000000"/>
          <w:szCs w:val="24"/>
          <w:lang w:val="en" w:eastAsia="en-GB"/>
        </w:rPr>
        <w:t xml:space="preserve">Investment security  </w:t>
      </w:r>
    </w:p>
    <w:p w14:paraId="322F241D" w14:textId="77777777" w:rsidR="00013A0A" w:rsidRPr="00BF7865" w:rsidRDefault="00013A0A" w:rsidP="00013A0A">
      <w:pPr>
        <w:shd w:val="clear" w:color="auto" w:fill="FFFFFF"/>
        <w:spacing w:line="288" w:lineRule="atLeast"/>
        <w:ind w:left="567"/>
        <w:outlineLvl w:val="5"/>
        <w:rPr>
          <w:rFonts w:cs="Arial"/>
          <w:b/>
          <w:color w:val="000000"/>
          <w:szCs w:val="24"/>
          <w:lang w:val="en" w:eastAsia="en-GB"/>
        </w:rPr>
      </w:pPr>
    </w:p>
    <w:p w14:paraId="5589471F" w14:textId="77777777" w:rsidR="00013A0A" w:rsidRPr="00BF7865" w:rsidRDefault="00013A0A" w:rsidP="00013A0A">
      <w:pPr>
        <w:shd w:val="clear" w:color="auto" w:fill="FFFFFF"/>
        <w:spacing w:line="288" w:lineRule="atLeast"/>
        <w:ind w:left="993"/>
        <w:jc w:val="both"/>
        <w:outlineLvl w:val="5"/>
        <w:rPr>
          <w:rFonts w:cs="Arial"/>
          <w:color w:val="000000"/>
          <w:szCs w:val="24"/>
          <w:lang w:val="en" w:eastAsia="en-GB"/>
        </w:rPr>
      </w:pPr>
      <w:r w:rsidRPr="00BF7865">
        <w:rPr>
          <w:rFonts w:cs="Arial"/>
          <w:color w:val="000000"/>
          <w:szCs w:val="24"/>
          <w:lang w:val="en" w:eastAsia="en-GB"/>
        </w:rPr>
        <w:t xml:space="preserve">Investments should be managed prudently with security and liquidity being considered ahead of yield </w:t>
      </w:r>
    </w:p>
    <w:p w14:paraId="0E7A6142" w14:textId="1E8A2616" w:rsidR="00013A0A" w:rsidRPr="00BF7865" w:rsidRDefault="00013A0A" w:rsidP="00013A0A">
      <w:pPr>
        <w:shd w:val="clear" w:color="auto" w:fill="FFFFFF"/>
        <w:spacing w:line="288" w:lineRule="atLeast"/>
        <w:ind w:left="993"/>
        <w:jc w:val="both"/>
        <w:outlineLvl w:val="5"/>
        <w:rPr>
          <w:rFonts w:cs="Arial"/>
          <w:color w:val="000000"/>
          <w:szCs w:val="24"/>
          <w:lang w:val="en" w:eastAsia="en-GB"/>
        </w:rPr>
      </w:pPr>
      <w:r w:rsidRPr="00BF7865">
        <w:rPr>
          <w:rFonts w:cs="Arial"/>
          <w:color w:val="000000"/>
          <w:szCs w:val="24"/>
          <w:lang w:val="en" w:eastAsia="en-GB"/>
        </w:rPr>
        <w:lastRenderedPageBreak/>
        <w:t>Potential counterparties should be recognised as “specified” and “non-specified” with investment limits being defined to reflect the status of each counterparty</w:t>
      </w:r>
    </w:p>
    <w:p w14:paraId="07F1D129" w14:textId="6F4A14E2" w:rsidR="00013A0A" w:rsidRPr="00BF7865" w:rsidRDefault="00013A0A" w:rsidP="00013A0A">
      <w:pPr>
        <w:shd w:val="clear" w:color="auto" w:fill="FFFFFF"/>
        <w:spacing w:line="288" w:lineRule="atLeast"/>
        <w:ind w:left="1309"/>
        <w:jc w:val="both"/>
        <w:outlineLvl w:val="5"/>
        <w:rPr>
          <w:rFonts w:cs="Arial"/>
          <w:color w:val="000000"/>
          <w:szCs w:val="24"/>
          <w:lang w:val="en" w:eastAsia="en-GB"/>
        </w:rPr>
      </w:pPr>
    </w:p>
    <w:p w14:paraId="0810084F" w14:textId="77777777" w:rsidR="00765068" w:rsidRPr="00BF7865" w:rsidRDefault="00765068" w:rsidP="00013A0A">
      <w:pPr>
        <w:shd w:val="clear" w:color="auto" w:fill="FFFFFF"/>
        <w:spacing w:line="288" w:lineRule="atLeast"/>
        <w:ind w:left="1309"/>
        <w:jc w:val="both"/>
        <w:outlineLvl w:val="5"/>
        <w:rPr>
          <w:rFonts w:cs="Arial"/>
          <w:color w:val="000000"/>
          <w:szCs w:val="24"/>
          <w:lang w:val="en" w:eastAsia="en-GB"/>
        </w:rPr>
      </w:pPr>
    </w:p>
    <w:p w14:paraId="62F1BD80" w14:textId="77777777" w:rsidR="00013A0A" w:rsidRPr="00BF7865" w:rsidRDefault="00013A0A" w:rsidP="008E3E63">
      <w:pPr>
        <w:numPr>
          <w:ilvl w:val="0"/>
          <w:numId w:val="30"/>
        </w:numPr>
        <w:shd w:val="clear" w:color="auto" w:fill="FFFFFF"/>
        <w:tabs>
          <w:tab w:val="clear" w:pos="720"/>
          <w:tab w:val="num" w:pos="993"/>
        </w:tabs>
        <w:spacing w:line="288" w:lineRule="atLeast"/>
        <w:ind w:left="567" w:firstLine="0"/>
        <w:outlineLvl w:val="5"/>
        <w:rPr>
          <w:rFonts w:cs="Arial"/>
          <w:b/>
          <w:color w:val="000000"/>
          <w:szCs w:val="24"/>
          <w:lang w:val="en" w:eastAsia="en-GB"/>
        </w:rPr>
      </w:pPr>
      <w:r w:rsidRPr="00BF7865">
        <w:rPr>
          <w:rFonts w:cs="Arial"/>
          <w:b/>
          <w:color w:val="000000"/>
          <w:szCs w:val="24"/>
          <w:lang w:val="en" w:eastAsia="en-GB"/>
        </w:rPr>
        <w:t>Investment risk</w:t>
      </w:r>
    </w:p>
    <w:p w14:paraId="6EFFCCC3" w14:textId="77777777" w:rsidR="00013A0A" w:rsidRPr="00BF7865" w:rsidRDefault="00013A0A" w:rsidP="00013A0A">
      <w:pPr>
        <w:shd w:val="clear" w:color="auto" w:fill="FFFFFF"/>
        <w:spacing w:line="288" w:lineRule="atLeast"/>
        <w:ind w:left="567"/>
        <w:outlineLvl w:val="5"/>
        <w:rPr>
          <w:rFonts w:cs="Arial"/>
          <w:b/>
          <w:color w:val="000000"/>
          <w:szCs w:val="24"/>
          <w:lang w:val="en" w:eastAsia="en-GB"/>
        </w:rPr>
      </w:pPr>
    </w:p>
    <w:p w14:paraId="665F38F1" w14:textId="77777777" w:rsidR="00013A0A" w:rsidRPr="00BF7865" w:rsidRDefault="00013A0A" w:rsidP="00013A0A">
      <w:pPr>
        <w:shd w:val="clear" w:color="auto" w:fill="FFFFFF"/>
        <w:spacing w:line="288" w:lineRule="atLeast"/>
        <w:ind w:left="993"/>
        <w:jc w:val="both"/>
        <w:outlineLvl w:val="5"/>
        <w:rPr>
          <w:rFonts w:cs="Arial"/>
          <w:color w:val="000000"/>
          <w:szCs w:val="24"/>
          <w:lang w:val="en" w:eastAsia="en-GB"/>
        </w:rPr>
      </w:pPr>
      <w:r w:rsidRPr="00BF7865">
        <w:rPr>
          <w:rFonts w:cs="Arial"/>
          <w:color w:val="000000"/>
          <w:szCs w:val="24"/>
          <w:lang w:val="en" w:eastAsia="en-GB"/>
        </w:rPr>
        <w:t>Procedures should be established for monitoring, assessing and mitigating the risk of loss of invested sums and for ensuring that such sums are readily accessible for expenditure whenever needed.</w:t>
      </w:r>
    </w:p>
    <w:p w14:paraId="6E18692A" w14:textId="77777777" w:rsidR="00013A0A" w:rsidRPr="00BF7865" w:rsidRDefault="00013A0A" w:rsidP="00013A0A">
      <w:pPr>
        <w:shd w:val="clear" w:color="auto" w:fill="FFFFFF"/>
        <w:spacing w:line="288" w:lineRule="atLeast"/>
        <w:ind w:left="993"/>
        <w:jc w:val="both"/>
        <w:outlineLvl w:val="5"/>
        <w:rPr>
          <w:rFonts w:cs="Arial"/>
          <w:color w:val="000000"/>
          <w:szCs w:val="24"/>
          <w:lang w:val="en" w:eastAsia="en-GB"/>
        </w:rPr>
      </w:pPr>
      <w:r w:rsidRPr="00BF7865">
        <w:rPr>
          <w:rFonts w:cs="Arial"/>
          <w:color w:val="000000"/>
          <w:szCs w:val="24"/>
          <w:lang w:val="en" w:eastAsia="en-GB"/>
        </w:rPr>
        <w:t>The use of credit ratings and other risk assessment processes should be explained</w:t>
      </w:r>
    </w:p>
    <w:p w14:paraId="39875483" w14:textId="77777777" w:rsidR="00013A0A" w:rsidRPr="00BF7865" w:rsidRDefault="00013A0A" w:rsidP="00013A0A">
      <w:pPr>
        <w:shd w:val="clear" w:color="auto" w:fill="FFFFFF"/>
        <w:spacing w:line="288" w:lineRule="atLeast"/>
        <w:ind w:left="993"/>
        <w:jc w:val="both"/>
        <w:outlineLvl w:val="5"/>
        <w:rPr>
          <w:rFonts w:cs="Arial"/>
          <w:color w:val="000000"/>
          <w:szCs w:val="24"/>
          <w:lang w:val="en" w:eastAsia="en-GB"/>
        </w:rPr>
      </w:pPr>
      <w:r w:rsidRPr="00BF7865">
        <w:rPr>
          <w:rFonts w:cs="Arial"/>
          <w:color w:val="000000"/>
          <w:szCs w:val="24"/>
          <w:lang w:val="en" w:eastAsia="en-GB"/>
        </w:rPr>
        <w:t>The use of external advisers should be monitored. The training requirements for treasury management staff should be reviewed and addressed</w:t>
      </w:r>
    </w:p>
    <w:p w14:paraId="17C200EE" w14:textId="77777777" w:rsidR="00013A0A" w:rsidRPr="00BF7865" w:rsidRDefault="00013A0A" w:rsidP="00013A0A">
      <w:pPr>
        <w:shd w:val="clear" w:color="auto" w:fill="FFFFFF"/>
        <w:spacing w:line="288" w:lineRule="atLeast"/>
        <w:ind w:left="993"/>
        <w:jc w:val="both"/>
        <w:outlineLvl w:val="5"/>
        <w:rPr>
          <w:rFonts w:cs="Arial"/>
          <w:color w:val="000000"/>
          <w:szCs w:val="24"/>
          <w:lang w:val="en" w:eastAsia="en-GB"/>
        </w:rPr>
      </w:pPr>
      <w:r w:rsidRPr="00BF7865">
        <w:rPr>
          <w:rFonts w:cs="Arial"/>
          <w:color w:val="000000"/>
          <w:szCs w:val="24"/>
          <w:lang w:val="en" w:eastAsia="en-GB"/>
        </w:rPr>
        <w:t>Specific policies should be stated as regards borrowing money in advance of need</w:t>
      </w:r>
    </w:p>
    <w:p w14:paraId="08AA6E0D" w14:textId="77777777" w:rsidR="00013A0A" w:rsidRPr="00BF7865" w:rsidRDefault="00013A0A" w:rsidP="00013A0A">
      <w:pPr>
        <w:shd w:val="clear" w:color="auto" w:fill="FFFFFF"/>
        <w:spacing w:line="288" w:lineRule="atLeast"/>
        <w:ind w:left="567"/>
        <w:outlineLvl w:val="5"/>
        <w:rPr>
          <w:rFonts w:cs="Arial"/>
          <w:color w:val="000000"/>
          <w:szCs w:val="24"/>
          <w:lang w:val="en" w:eastAsia="en-GB"/>
        </w:rPr>
      </w:pPr>
    </w:p>
    <w:p w14:paraId="0D4C960F" w14:textId="77777777" w:rsidR="00013A0A" w:rsidRPr="00BF7865" w:rsidRDefault="00013A0A" w:rsidP="008E3E63">
      <w:pPr>
        <w:numPr>
          <w:ilvl w:val="0"/>
          <w:numId w:val="30"/>
        </w:numPr>
        <w:shd w:val="clear" w:color="auto" w:fill="FFFFFF"/>
        <w:tabs>
          <w:tab w:val="clear" w:pos="720"/>
          <w:tab w:val="num" w:pos="993"/>
        </w:tabs>
        <w:spacing w:line="288" w:lineRule="atLeast"/>
        <w:ind w:left="993" w:hanging="426"/>
        <w:outlineLvl w:val="5"/>
        <w:rPr>
          <w:rFonts w:cs="Arial"/>
          <w:b/>
          <w:color w:val="000000"/>
          <w:szCs w:val="24"/>
          <w:lang w:val="en" w:eastAsia="en-GB"/>
        </w:rPr>
      </w:pPr>
      <w:r w:rsidRPr="00BF7865">
        <w:rPr>
          <w:rFonts w:cs="Arial"/>
          <w:b/>
          <w:color w:val="000000"/>
          <w:szCs w:val="24"/>
          <w:lang w:val="en" w:eastAsia="en-GB"/>
        </w:rPr>
        <w:t>Investment Liquidity</w:t>
      </w:r>
    </w:p>
    <w:p w14:paraId="4E256CCE" w14:textId="77777777" w:rsidR="00013A0A" w:rsidRPr="00BF7865" w:rsidRDefault="00013A0A" w:rsidP="00013A0A">
      <w:pPr>
        <w:shd w:val="clear" w:color="auto" w:fill="FFFFFF"/>
        <w:spacing w:line="288" w:lineRule="atLeast"/>
        <w:ind w:left="993"/>
        <w:outlineLvl w:val="5"/>
        <w:rPr>
          <w:rFonts w:cs="Arial"/>
          <w:b/>
          <w:color w:val="000000"/>
          <w:szCs w:val="24"/>
          <w:lang w:val="en" w:eastAsia="en-GB"/>
        </w:rPr>
      </w:pPr>
    </w:p>
    <w:p w14:paraId="0CCBECE3" w14:textId="77777777" w:rsidR="00013A0A" w:rsidRPr="00BF7865" w:rsidRDefault="00013A0A" w:rsidP="00013A0A">
      <w:pPr>
        <w:shd w:val="clear" w:color="auto" w:fill="FFFFFF"/>
        <w:spacing w:line="288" w:lineRule="atLeast"/>
        <w:ind w:left="993"/>
        <w:outlineLvl w:val="5"/>
        <w:rPr>
          <w:rFonts w:cs="Arial"/>
          <w:color w:val="000000"/>
          <w:szCs w:val="24"/>
          <w:lang w:val="en" w:eastAsia="en-GB"/>
        </w:rPr>
      </w:pPr>
      <w:r w:rsidRPr="00BF7865">
        <w:rPr>
          <w:rFonts w:cs="Arial"/>
          <w:color w:val="000000"/>
          <w:szCs w:val="24"/>
          <w:lang w:val="en" w:eastAsia="en-GB"/>
        </w:rPr>
        <w:t>The Strategy should set out procedures for determining the maximum periods for which funds may prudently be committed</w:t>
      </w:r>
    </w:p>
    <w:p w14:paraId="064B6FF9" w14:textId="77777777" w:rsidR="00013A0A" w:rsidRPr="00BF7865" w:rsidRDefault="00013A0A" w:rsidP="00013A0A">
      <w:pPr>
        <w:shd w:val="clear" w:color="auto" w:fill="FFFFFF"/>
        <w:spacing w:line="288" w:lineRule="atLeast"/>
        <w:ind w:left="709"/>
        <w:outlineLvl w:val="5"/>
        <w:rPr>
          <w:rFonts w:cs="Arial"/>
          <w:color w:val="000000"/>
          <w:szCs w:val="24"/>
          <w:lang w:val="en" w:eastAsia="en-GB"/>
        </w:rPr>
      </w:pPr>
    </w:p>
    <w:p w14:paraId="17135D14" w14:textId="77777777" w:rsidR="00013A0A" w:rsidRPr="00BF7865" w:rsidRDefault="00013A0A" w:rsidP="00013A0A">
      <w:pPr>
        <w:shd w:val="clear" w:color="auto" w:fill="FFFFFF"/>
        <w:spacing w:line="288" w:lineRule="atLeast"/>
        <w:outlineLvl w:val="5"/>
        <w:rPr>
          <w:rFonts w:cs="Arial"/>
          <w:color w:val="000000"/>
          <w:szCs w:val="24"/>
          <w:lang w:val="en" w:eastAsia="en-GB"/>
        </w:rPr>
      </w:pPr>
      <w:r w:rsidRPr="00BF7865">
        <w:rPr>
          <w:rFonts w:cs="Arial"/>
          <w:color w:val="000000"/>
          <w:szCs w:val="24"/>
          <w:lang w:val="en" w:eastAsia="en-GB"/>
        </w:rPr>
        <w:t>The Strategy should be approved by the full Council and made available to the public free of charge. Subject to full Council approval, or approved delegations, the Strategy can be revised during the year.</w:t>
      </w:r>
    </w:p>
    <w:p w14:paraId="5CE695E4" w14:textId="77777777" w:rsidR="00013A0A" w:rsidRPr="00BF7865" w:rsidRDefault="00013A0A" w:rsidP="00013A0A">
      <w:pPr>
        <w:shd w:val="clear" w:color="auto" w:fill="FFFFFF"/>
        <w:spacing w:line="288" w:lineRule="atLeast"/>
        <w:outlineLvl w:val="5"/>
        <w:rPr>
          <w:rFonts w:cs="Arial"/>
          <w:color w:val="000000"/>
          <w:szCs w:val="24"/>
          <w:lang w:val="en" w:eastAsia="en-GB"/>
        </w:rPr>
      </w:pPr>
    </w:p>
    <w:p w14:paraId="54E57C4F" w14:textId="007B8AD8" w:rsidR="00EE5F66" w:rsidRPr="00BF7865" w:rsidRDefault="00EE5F66" w:rsidP="009E715C">
      <w:pPr>
        <w:pStyle w:val="ListParagraph"/>
        <w:numPr>
          <w:ilvl w:val="4"/>
          <w:numId w:val="51"/>
        </w:numPr>
        <w:ind w:left="567" w:hanging="567"/>
        <w:rPr>
          <w:b/>
          <w:sz w:val="28"/>
          <w:u w:val="single"/>
        </w:rPr>
      </w:pPr>
      <w:r w:rsidRPr="00BF7865">
        <w:rPr>
          <w:b/>
          <w:sz w:val="28"/>
          <w:u w:val="single"/>
        </w:rPr>
        <w:t>Ministry of Housing, Communities and Local Government Minimum Revenue Provision Guidance (2018)</w:t>
      </w:r>
    </w:p>
    <w:p w14:paraId="4113443C" w14:textId="76A7F33B" w:rsidR="00EE5F66" w:rsidRPr="00BF7865" w:rsidRDefault="00EE5F66" w:rsidP="00013A0A">
      <w:pPr>
        <w:jc w:val="both"/>
        <w:rPr>
          <w:b/>
          <w:sz w:val="28"/>
          <w:szCs w:val="28"/>
          <w:u w:val="single"/>
        </w:rPr>
      </w:pPr>
    </w:p>
    <w:p w14:paraId="33FB793B" w14:textId="16D8A0A5" w:rsidR="00765068" w:rsidRPr="00BF7865" w:rsidRDefault="00765068" w:rsidP="00765068">
      <w:pPr>
        <w:shd w:val="clear" w:color="auto" w:fill="FFFFFF"/>
        <w:spacing w:line="288" w:lineRule="atLeast"/>
        <w:outlineLvl w:val="5"/>
        <w:rPr>
          <w:rFonts w:cs="Arial"/>
          <w:color w:val="000000"/>
          <w:szCs w:val="24"/>
          <w:lang w:val="en" w:eastAsia="en-GB"/>
        </w:rPr>
      </w:pPr>
      <w:r w:rsidRPr="00BF7865">
        <w:rPr>
          <w:rFonts w:cs="Arial"/>
          <w:color w:val="000000"/>
          <w:szCs w:val="24"/>
          <w:lang w:val="en" w:eastAsia="en-GB"/>
        </w:rPr>
        <w:t>Minimum Revenue Provision (MRP) is the mechanism by which capital expenditure funded though prudential borrowing is charged to revenue</w:t>
      </w:r>
      <w:r w:rsidR="0023139A" w:rsidRPr="00BF7865">
        <w:rPr>
          <w:rFonts w:cs="Arial"/>
          <w:color w:val="000000"/>
          <w:szCs w:val="24"/>
          <w:lang w:val="en" w:eastAsia="en-GB"/>
        </w:rPr>
        <w:t xml:space="preserve"> over time</w:t>
      </w:r>
      <w:r w:rsidRPr="00BF7865">
        <w:rPr>
          <w:rFonts w:cs="Arial"/>
          <w:color w:val="000000"/>
          <w:szCs w:val="24"/>
          <w:lang w:val="en" w:eastAsia="en-GB"/>
        </w:rPr>
        <w:t>.  The aim of MRP is to align the charge to revenue over a period which the capital expenditure provides benefit.</w:t>
      </w:r>
    </w:p>
    <w:p w14:paraId="644D86A3" w14:textId="0D330BC3" w:rsidR="00765068" w:rsidRPr="00BF7865" w:rsidRDefault="00765068" w:rsidP="00765068">
      <w:pPr>
        <w:shd w:val="clear" w:color="auto" w:fill="FFFFFF"/>
        <w:spacing w:line="288" w:lineRule="atLeast"/>
        <w:outlineLvl w:val="5"/>
        <w:rPr>
          <w:rFonts w:cs="Arial"/>
          <w:color w:val="000000"/>
          <w:szCs w:val="24"/>
          <w:lang w:val="en" w:eastAsia="en-GB"/>
        </w:rPr>
      </w:pPr>
    </w:p>
    <w:p w14:paraId="7A56E492" w14:textId="2E9CC0DC" w:rsidR="00765068" w:rsidRPr="00BF7865" w:rsidRDefault="00765068" w:rsidP="00765068">
      <w:pPr>
        <w:shd w:val="clear" w:color="auto" w:fill="FFFFFF"/>
        <w:spacing w:line="288" w:lineRule="atLeast"/>
        <w:outlineLvl w:val="5"/>
        <w:rPr>
          <w:rFonts w:cs="Arial"/>
          <w:color w:val="000000"/>
          <w:szCs w:val="24"/>
          <w:lang w:val="en" w:eastAsia="en-GB"/>
        </w:rPr>
      </w:pPr>
      <w:r w:rsidRPr="00BF7865">
        <w:rPr>
          <w:rFonts w:cs="Arial"/>
          <w:color w:val="000000"/>
          <w:szCs w:val="24"/>
          <w:lang w:val="en" w:eastAsia="en-GB"/>
        </w:rPr>
        <w:t>Before the start of each financial year the Council is required to approve an MRP Policy Statement specifying how it will make prudent MRP during that year.  Subject to full Council approval, the MRP Policy Statement can be revised during the year</w:t>
      </w:r>
      <w:r w:rsidR="0023139A" w:rsidRPr="00BF7865">
        <w:rPr>
          <w:rFonts w:cs="Arial"/>
          <w:color w:val="000000"/>
          <w:szCs w:val="24"/>
          <w:lang w:val="en" w:eastAsia="en-GB"/>
        </w:rPr>
        <w:t>.</w:t>
      </w:r>
    </w:p>
    <w:p w14:paraId="75B8FF4F" w14:textId="5527799A" w:rsidR="00765068" w:rsidRPr="009F523A" w:rsidRDefault="00765068" w:rsidP="00765068">
      <w:pPr>
        <w:shd w:val="clear" w:color="auto" w:fill="FFFFFF"/>
        <w:spacing w:line="288" w:lineRule="atLeast"/>
        <w:outlineLvl w:val="5"/>
        <w:rPr>
          <w:rFonts w:cs="Arial"/>
          <w:color w:val="000000"/>
          <w:szCs w:val="24"/>
          <w:highlight w:val="yellow"/>
          <w:lang w:val="en" w:eastAsia="en-GB"/>
        </w:rPr>
      </w:pPr>
    </w:p>
    <w:p w14:paraId="38938A0F" w14:textId="77777777" w:rsidR="00765068" w:rsidRPr="009F523A" w:rsidRDefault="00765068" w:rsidP="00013A0A">
      <w:pPr>
        <w:jc w:val="both"/>
        <w:rPr>
          <w:b/>
          <w:sz w:val="28"/>
          <w:szCs w:val="28"/>
          <w:highlight w:val="yellow"/>
          <w:u w:val="single"/>
        </w:rPr>
      </w:pPr>
    </w:p>
    <w:p w14:paraId="15112C90" w14:textId="43BED6C7" w:rsidR="00013A0A" w:rsidRPr="009F523A" w:rsidRDefault="00013A0A" w:rsidP="009E715C">
      <w:pPr>
        <w:pStyle w:val="ListParagraph"/>
        <w:numPr>
          <w:ilvl w:val="4"/>
          <w:numId w:val="51"/>
        </w:numPr>
        <w:ind w:left="567" w:hanging="567"/>
        <w:rPr>
          <w:b/>
          <w:sz w:val="28"/>
          <w:u w:val="single"/>
        </w:rPr>
      </w:pPr>
      <w:r w:rsidRPr="009F523A">
        <w:rPr>
          <w:b/>
          <w:sz w:val="28"/>
          <w:u w:val="single"/>
        </w:rPr>
        <w:t>Treasury Management in the Public Services:</w:t>
      </w:r>
      <w:r w:rsidR="00362B79" w:rsidRPr="009F523A">
        <w:rPr>
          <w:b/>
          <w:sz w:val="28"/>
          <w:u w:val="single"/>
        </w:rPr>
        <w:t xml:space="preserve"> CIPFA</w:t>
      </w:r>
      <w:r w:rsidRPr="009F523A">
        <w:rPr>
          <w:b/>
          <w:sz w:val="28"/>
          <w:u w:val="single"/>
        </w:rPr>
        <w:t xml:space="preserve"> Code of Practice</w:t>
      </w:r>
      <w:r w:rsidR="0096726F" w:rsidRPr="009F523A">
        <w:rPr>
          <w:b/>
          <w:sz w:val="28"/>
          <w:u w:val="single"/>
        </w:rPr>
        <w:t xml:space="preserve"> (2017)</w:t>
      </w:r>
      <w:r w:rsidRPr="009F523A">
        <w:rPr>
          <w:b/>
          <w:sz w:val="28"/>
          <w:u w:val="single"/>
        </w:rPr>
        <w:t xml:space="preserve"> and Guidance Notes (</w:t>
      </w:r>
      <w:r w:rsidR="00362B79" w:rsidRPr="009F523A">
        <w:rPr>
          <w:b/>
          <w:sz w:val="28"/>
          <w:u w:val="single"/>
        </w:rPr>
        <w:t>201</w:t>
      </w:r>
      <w:r w:rsidR="0096726F" w:rsidRPr="009F523A">
        <w:rPr>
          <w:b/>
          <w:sz w:val="28"/>
          <w:u w:val="single"/>
        </w:rPr>
        <w:t>8</w:t>
      </w:r>
      <w:r w:rsidRPr="009F523A">
        <w:rPr>
          <w:b/>
          <w:sz w:val="28"/>
          <w:u w:val="single"/>
        </w:rPr>
        <w:t>)</w:t>
      </w:r>
    </w:p>
    <w:p w14:paraId="4EE756E5" w14:textId="77777777" w:rsidR="00013A0A" w:rsidRPr="009F523A" w:rsidRDefault="00013A0A" w:rsidP="00013A0A">
      <w:pPr>
        <w:jc w:val="both"/>
        <w:rPr>
          <w:b/>
          <w:sz w:val="28"/>
          <w:szCs w:val="28"/>
          <w:u w:val="single"/>
        </w:rPr>
      </w:pPr>
    </w:p>
    <w:p w14:paraId="1BFD6D14" w14:textId="77777777" w:rsidR="00013A0A" w:rsidRPr="009F523A" w:rsidRDefault="00013A0A" w:rsidP="00013A0A">
      <w:pPr>
        <w:jc w:val="both"/>
        <w:rPr>
          <w:rFonts w:cs="Arial"/>
          <w:iCs/>
          <w:szCs w:val="24"/>
        </w:rPr>
      </w:pPr>
      <w:r w:rsidRPr="009F523A">
        <w:rPr>
          <w:rFonts w:cs="Arial"/>
          <w:iCs/>
          <w:szCs w:val="24"/>
        </w:rPr>
        <w:t>The primary requirements of the Code are:</w:t>
      </w:r>
    </w:p>
    <w:p w14:paraId="644E6298" w14:textId="77777777" w:rsidR="00013A0A" w:rsidRPr="009F523A" w:rsidRDefault="00013A0A" w:rsidP="00013A0A">
      <w:pPr>
        <w:jc w:val="both"/>
        <w:rPr>
          <w:rFonts w:cs="Arial"/>
          <w:iCs/>
          <w:szCs w:val="24"/>
        </w:rPr>
      </w:pPr>
    </w:p>
    <w:p w14:paraId="2E294241" w14:textId="4AB6AEDD" w:rsidR="00013A0A" w:rsidRPr="009F523A" w:rsidRDefault="00013A0A" w:rsidP="008E3E63">
      <w:pPr>
        <w:numPr>
          <w:ilvl w:val="0"/>
          <w:numId w:val="26"/>
        </w:numPr>
        <w:tabs>
          <w:tab w:val="clear" w:pos="1287"/>
          <w:tab w:val="num" w:pos="993"/>
        </w:tabs>
        <w:ind w:left="993" w:hanging="426"/>
        <w:jc w:val="both"/>
        <w:rPr>
          <w:rFonts w:cs="Arial"/>
          <w:szCs w:val="24"/>
        </w:rPr>
      </w:pPr>
      <w:r w:rsidRPr="009F523A">
        <w:rPr>
          <w:rFonts w:cs="Arial"/>
          <w:szCs w:val="24"/>
        </w:rPr>
        <w:t>Creation and maintenance of a Treasury Management Policy Statement which sets out the policies and objectives of the Council’s treasury management activities.</w:t>
      </w:r>
    </w:p>
    <w:p w14:paraId="25EF8504" w14:textId="77777777" w:rsidR="0096726F" w:rsidRPr="009F523A" w:rsidRDefault="0096726F" w:rsidP="008E3E63">
      <w:pPr>
        <w:numPr>
          <w:ilvl w:val="0"/>
          <w:numId w:val="26"/>
        </w:numPr>
        <w:tabs>
          <w:tab w:val="clear" w:pos="1287"/>
          <w:tab w:val="num" w:pos="993"/>
        </w:tabs>
        <w:ind w:left="993" w:hanging="426"/>
        <w:jc w:val="both"/>
        <w:rPr>
          <w:rFonts w:cs="Arial"/>
          <w:szCs w:val="24"/>
        </w:rPr>
      </w:pPr>
      <w:r w:rsidRPr="009F523A">
        <w:rPr>
          <w:rFonts w:cs="Arial"/>
          <w:szCs w:val="24"/>
        </w:rPr>
        <w:lastRenderedPageBreak/>
        <w:t>Creation and maintenance of Treasury Management Practices (“TMPs”) that set out the manner in which the Council will seek to achieve those policies and objectives.</w:t>
      </w:r>
    </w:p>
    <w:p w14:paraId="3474323D" w14:textId="7F49F37F" w:rsidR="00013A0A" w:rsidRPr="009F523A" w:rsidRDefault="00013A0A" w:rsidP="008E3E63">
      <w:pPr>
        <w:numPr>
          <w:ilvl w:val="1"/>
          <w:numId w:val="27"/>
        </w:numPr>
        <w:tabs>
          <w:tab w:val="clear" w:pos="1287"/>
          <w:tab w:val="num" w:pos="993"/>
        </w:tabs>
        <w:ind w:left="993" w:hanging="426"/>
        <w:jc w:val="both"/>
        <w:rPr>
          <w:rFonts w:cs="Arial"/>
          <w:szCs w:val="24"/>
        </w:rPr>
      </w:pPr>
      <w:r w:rsidRPr="009F523A">
        <w:rPr>
          <w:rFonts w:cs="Arial"/>
          <w:szCs w:val="24"/>
        </w:rPr>
        <w:t>Receipt by the full Council or Cabinet of an annual Treasury Management Strategy Statement - including the Annual Investment Strategy and Minimum Revenue Provision Policy</w:t>
      </w:r>
      <w:r w:rsidR="0096726F" w:rsidRPr="009F523A">
        <w:rPr>
          <w:rFonts w:cs="Arial"/>
          <w:szCs w:val="24"/>
        </w:rPr>
        <w:t xml:space="preserve"> Statement</w:t>
      </w:r>
      <w:r w:rsidRPr="009F523A">
        <w:rPr>
          <w:rFonts w:cs="Arial"/>
          <w:szCs w:val="24"/>
        </w:rPr>
        <w:t xml:space="preserve"> - for the year ahead, a Half-year Review Report and an Annual Report (stewardship report) covering activities during the previous year.</w:t>
      </w:r>
    </w:p>
    <w:p w14:paraId="7BB55BBD" w14:textId="77777777" w:rsidR="00013A0A" w:rsidRPr="009F523A" w:rsidRDefault="00013A0A" w:rsidP="008E3E63">
      <w:pPr>
        <w:numPr>
          <w:ilvl w:val="1"/>
          <w:numId w:val="28"/>
        </w:numPr>
        <w:tabs>
          <w:tab w:val="clear" w:pos="1287"/>
          <w:tab w:val="num" w:pos="993"/>
        </w:tabs>
        <w:ind w:left="993" w:hanging="426"/>
        <w:jc w:val="both"/>
        <w:rPr>
          <w:rFonts w:cs="Arial"/>
          <w:szCs w:val="24"/>
        </w:rPr>
      </w:pPr>
      <w:r w:rsidRPr="009F523A">
        <w:rPr>
          <w:rFonts w:cs="Arial"/>
          <w:szCs w:val="24"/>
        </w:rPr>
        <w:t>Delegation by the Council of responsibilities for implementing and monitoring treasury management policies and practices and for the execution and administration of treasury management decisions.</w:t>
      </w:r>
    </w:p>
    <w:p w14:paraId="373B6F14" w14:textId="1433BE86" w:rsidR="0023139A" w:rsidRPr="009F523A" w:rsidRDefault="00013A0A" w:rsidP="008E3E63">
      <w:pPr>
        <w:numPr>
          <w:ilvl w:val="1"/>
          <w:numId w:val="29"/>
        </w:numPr>
        <w:tabs>
          <w:tab w:val="clear" w:pos="1287"/>
          <w:tab w:val="num" w:pos="993"/>
        </w:tabs>
        <w:ind w:left="993" w:hanging="426"/>
        <w:jc w:val="both"/>
        <w:rPr>
          <w:rFonts w:cs="Arial"/>
          <w:szCs w:val="24"/>
        </w:rPr>
      </w:pPr>
      <w:r w:rsidRPr="009F523A">
        <w:rPr>
          <w:rFonts w:cs="Arial"/>
          <w:szCs w:val="24"/>
        </w:rPr>
        <w:t xml:space="preserve">Delegation by the Council of the role of scrutiny of treasury management strategy and policies to a specific named body.  </w:t>
      </w:r>
    </w:p>
    <w:p w14:paraId="4CBA60BD" w14:textId="284D2406" w:rsidR="00013A0A" w:rsidRPr="009F523A" w:rsidRDefault="00013A0A" w:rsidP="0023139A">
      <w:pPr>
        <w:ind w:left="993"/>
        <w:jc w:val="both"/>
        <w:rPr>
          <w:b/>
          <w:sz w:val="28"/>
          <w:szCs w:val="28"/>
          <w:highlight w:val="yellow"/>
          <w:u w:val="single"/>
        </w:rPr>
      </w:pPr>
    </w:p>
    <w:p w14:paraId="251E1844" w14:textId="795FB348" w:rsidR="00013A0A" w:rsidRPr="009F523A" w:rsidRDefault="00013A0A" w:rsidP="009E715C">
      <w:pPr>
        <w:pStyle w:val="ListParagraph"/>
        <w:numPr>
          <w:ilvl w:val="4"/>
          <w:numId w:val="51"/>
        </w:numPr>
        <w:ind w:left="567" w:hanging="567"/>
        <w:rPr>
          <w:b/>
          <w:sz w:val="28"/>
          <w:u w:val="single"/>
        </w:rPr>
      </w:pPr>
      <w:r w:rsidRPr="009F523A">
        <w:rPr>
          <w:b/>
          <w:sz w:val="28"/>
          <w:u w:val="single"/>
        </w:rPr>
        <w:t xml:space="preserve">CIPFA </w:t>
      </w:r>
      <w:r w:rsidR="0096726F" w:rsidRPr="009F523A">
        <w:rPr>
          <w:b/>
          <w:sz w:val="28"/>
          <w:u w:val="single"/>
        </w:rPr>
        <w:t>Prudential Code (2017) and Guidance Notes (2018)</w:t>
      </w:r>
    </w:p>
    <w:p w14:paraId="0E95A7DF" w14:textId="77777777" w:rsidR="00013A0A" w:rsidRPr="009F523A" w:rsidRDefault="00013A0A" w:rsidP="00013A0A">
      <w:pPr>
        <w:ind w:left="360"/>
        <w:jc w:val="both"/>
        <w:rPr>
          <w:b/>
          <w:sz w:val="28"/>
          <w:szCs w:val="28"/>
          <w:highlight w:val="yellow"/>
          <w:u w:val="single"/>
        </w:rPr>
      </w:pPr>
    </w:p>
    <w:p w14:paraId="0FA0588A" w14:textId="46CC8B06" w:rsidR="0096726F" w:rsidRPr="00BF7865" w:rsidRDefault="0096726F" w:rsidP="00013A0A">
      <w:pPr>
        <w:jc w:val="both"/>
        <w:rPr>
          <w:rFonts w:cs="Arial"/>
          <w:iCs/>
          <w:color w:val="0D0D0D"/>
          <w:szCs w:val="24"/>
          <w:lang w:val="en-AU"/>
        </w:rPr>
      </w:pPr>
      <w:r w:rsidRPr="00BF7865">
        <w:rPr>
          <w:rFonts w:cs="Arial"/>
          <w:iCs/>
          <w:color w:val="0D0D0D"/>
          <w:szCs w:val="24"/>
          <w:lang w:val="en-AU"/>
        </w:rPr>
        <w:t>The CIPFA Prudential Code is a framework developed to support local strateg</w:t>
      </w:r>
      <w:r w:rsidR="00CF66DF" w:rsidRPr="00BF7865">
        <w:rPr>
          <w:rFonts w:cs="Arial"/>
          <w:iCs/>
          <w:color w:val="0D0D0D"/>
          <w:szCs w:val="24"/>
          <w:lang w:val="en-AU"/>
        </w:rPr>
        <w:t>ic</w:t>
      </w:r>
      <w:r w:rsidRPr="00BF7865">
        <w:rPr>
          <w:rFonts w:cs="Arial"/>
          <w:iCs/>
          <w:color w:val="0D0D0D"/>
          <w:szCs w:val="24"/>
          <w:lang w:val="en-AU"/>
        </w:rPr>
        <w:t xml:space="preserve"> planning, asset management and options appraisal.  The objectives of the Prudential Code are to ensure that the Council</w:t>
      </w:r>
      <w:r w:rsidR="00CF66DF" w:rsidRPr="00BF7865">
        <w:rPr>
          <w:rFonts w:cs="Arial"/>
          <w:iCs/>
          <w:color w:val="0D0D0D"/>
          <w:szCs w:val="24"/>
          <w:lang w:val="en-AU"/>
        </w:rPr>
        <w:t>’</w:t>
      </w:r>
      <w:r w:rsidRPr="00BF7865">
        <w:rPr>
          <w:rFonts w:cs="Arial"/>
          <w:iCs/>
          <w:color w:val="0D0D0D"/>
          <w:szCs w:val="24"/>
          <w:lang w:val="en-AU"/>
        </w:rPr>
        <w:t>s capital expenditure plans are affordable, prudent and sustainable, and that treasury management decisions are taken in accordance with good professional practice and in full understanding of the risks involved.</w:t>
      </w:r>
    </w:p>
    <w:p w14:paraId="3B7E6534" w14:textId="77777777" w:rsidR="0096726F" w:rsidRPr="00BF7865" w:rsidRDefault="0096726F" w:rsidP="00013A0A">
      <w:pPr>
        <w:jc w:val="both"/>
        <w:rPr>
          <w:rFonts w:cs="Arial"/>
          <w:iCs/>
          <w:color w:val="0D0D0D"/>
          <w:szCs w:val="24"/>
          <w:lang w:val="en-AU"/>
        </w:rPr>
      </w:pPr>
    </w:p>
    <w:p w14:paraId="71A80EFC" w14:textId="77936BD6" w:rsidR="008E3E63" w:rsidRPr="0080583B" w:rsidRDefault="0096726F" w:rsidP="00013A0A">
      <w:pPr>
        <w:jc w:val="both"/>
        <w:rPr>
          <w:rFonts w:cs="Arial"/>
          <w:iCs/>
          <w:color w:val="0D0D0D"/>
          <w:szCs w:val="24"/>
          <w:lang w:val="en-AU"/>
        </w:rPr>
      </w:pPr>
      <w:r w:rsidRPr="00BF7865">
        <w:rPr>
          <w:rFonts w:cs="Arial"/>
          <w:iCs/>
          <w:color w:val="0D0D0D"/>
          <w:szCs w:val="24"/>
          <w:lang w:val="en-AU"/>
        </w:rPr>
        <w:t>The Prudential Code sets out a number of indicators which demonstrate</w:t>
      </w:r>
      <w:r w:rsidR="00CF66DF" w:rsidRPr="00BF7865">
        <w:rPr>
          <w:rFonts w:cs="Arial"/>
          <w:iCs/>
          <w:color w:val="0D0D0D"/>
          <w:szCs w:val="24"/>
          <w:lang w:val="en-AU"/>
        </w:rPr>
        <w:t xml:space="preserve"> the impact of the approved capital programme.  The latest published version in 2017</w:t>
      </w:r>
      <w:r w:rsidR="00013A0A" w:rsidRPr="00BF7865">
        <w:rPr>
          <w:rFonts w:cs="Arial"/>
          <w:iCs/>
          <w:color w:val="0D0D0D"/>
          <w:szCs w:val="24"/>
          <w:lang w:val="en-AU"/>
        </w:rPr>
        <w:t xml:space="preserve"> introduced a new requirement for local authorities to produce an annual </w:t>
      </w:r>
      <w:r w:rsidR="00013A0A" w:rsidRPr="00BF7865">
        <w:rPr>
          <w:rFonts w:cs="Arial"/>
          <w:bCs/>
          <w:iCs/>
          <w:color w:val="0D0D0D"/>
          <w:szCs w:val="24"/>
          <w:lang w:val="en-AU"/>
        </w:rPr>
        <w:t>Capital Strategy</w:t>
      </w:r>
      <w:r w:rsidR="008E3E63" w:rsidRPr="00BF7865">
        <w:rPr>
          <w:rFonts w:cs="Arial"/>
          <w:bCs/>
          <w:iCs/>
          <w:color w:val="0D0D0D"/>
          <w:szCs w:val="24"/>
          <w:lang w:val="en-AU"/>
        </w:rPr>
        <w:t>, which sets out the long-</w:t>
      </w:r>
      <w:r w:rsidR="008E3E63" w:rsidRPr="00BF7865">
        <w:rPr>
          <w:rFonts w:cs="Arial"/>
          <w:iCs/>
          <w:color w:val="0D0D0D"/>
          <w:szCs w:val="24"/>
          <w:lang w:val="en-AU"/>
        </w:rPr>
        <w:t>term context in which capital expenditure and investment decisions are made.</w:t>
      </w:r>
    </w:p>
    <w:p w14:paraId="625539C5" w14:textId="77777777" w:rsidR="00013A0A" w:rsidRPr="0080583B" w:rsidRDefault="00013A0A" w:rsidP="00013A0A">
      <w:pPr>
        <w:jc w:val="both"/>
        <w:rPr>
          <w:b/>
          <w:szCs w:val="24"/>
          <w:u w:val="single"/>
        </w:rPr>
      </w:pPr>
    </w:p>
    <w:p w14:paraId="0359583C" w14:textId="77777777" w:rsidR="00013A0A" w:rsidRPr="0080583B" w:rsidRDefault="00013A0A" w:rsidP="00013A0A">
      <w:pPr>
        <w:jc w:val="right"/>
        <w:rPr>
          <w:szCs w:val="24"/>
        </w:rPr>
      </w:pPr>
    </w:p>
    <w:p w14:paraId="5D93B2D3" w14:textId="77777777" w:rsidR="00013A0A" w:rsidRPr="00114433" w:rsidRDefault="00013A0A" w:rsidP="00013A0A">
      <w:pPr>
        <w:jc w:val="right"/>
        <w:rPr>
          <w:b/>
          <w:sz w:val="32"/>
          <w:szCs w:val="32"/>
        </w:rPr>
      </w:pPr>
      <w:r w:rsidRPr="0080583B">
        <w:rPr>
          <w:b/>
          <w:szCs w:val="24"/>
          <w:u w:val="single"/>
        </w:rPr>
        <w:br w:type="page"/>
      </w:r>
      <w:r w:rsidRPr="00114433">
        <w:rPr>
          <w:b/>
          <w:sz w:val="32"/>
          <w:szCs w:val="32"/>
        </w:rPr>
        <w:lastRenderedPageBreak/>
        <w:t>APPENDIX B</w:t>
      </w:r>
    </w:p>
    <w:p w14:paraId="0640245E" w14:textId="77777777" w:rsidR="00013A0A" w:rsidRPr="00114433" w:rsidRDefault="00013A0A" w:rsidP="00013A0A">
      <w:pPr>
        <w:jc w:val="center"/>
        <w:rPr>
          <w:b/>
          <w:szCs w:val="24"/>
        </w:rPr>
      </w:pPr>
    </w:p>
    <w:p w14:paraId="65BFEA36" w14:textId="77777777" w:rsidR="00013A0A" w:rsidRPr="00114433" w:rsidRDefault="00013A0A" w:rsidP="00013A0A">
      <w:pPr>
        <w:rPr>
          <w:b/>
          <w:sz w:val="32"/>
          <w:szCs w:val="32"/>
        </w:rPr>
      </w:pPr>
      <w:r w:rsidRPr="00114433">
        <w:rPr>
          <w:b/>
          <w:sz w:val="32"/>
          <w:szCs w:val="32"/>
        </w:rPr>
        <w:t>TREASURY MANAGEMENT DELEGATIONS AND RESPONSIBILITIES</w:t>
      </w:r>
    </w:p>
    <w:p w14:paraId="0E88FF13" w14:textId="77777777" w:rsidR="00013A0A" w:rsidRPr="00114433" w:rsidRDefault="00013A0A" w:rsidP="00013A0A">
      <w:pPr>
        <w:jc w:val="center"/>
        <w:rPr>
          <w:b/>
          <w:szCs w:val="24"/>
        </w:rPr>
      </w:pPr>
    </w:p>
    <w:p w14:paraId="38AE2D22" w14:textId="77777777" w:rsidR="00013A0A" w:rsidRPr="00114433" w:rsidRDefault="00013A0A" w:rsidP="00013A0A">
      <w:pPr>
        <w:jc w:val="both"/>
        <w:rPr>
          <w:szCs w:val="24"/>
        </w:rPr>
      </w:pPr>
      <w:r w:rsidRPr="00114433">
        <w:rPr>
          <w:szCs w:val="24"/>
        </w:rPr>
        <w:t>The respective roles of the Council, Cabinet, GARMSC, the Section 151 officer, the Treasury Management Group the Treasury and Pensions Manager and the Treasury Team are summarised below.  Further details are set out in the Treasury Management Practices.</w:t>
      </w:r>
    </w:p>
    <w:p w14:paraId="0D0631CB" w14:textId="77777777" w:rsidR="00013A0A" w:rsidRPr="00114433" w:rsidRDefault="00013A0A" w:rsidP="00013A0A">
      <w:pPr>
        <w:jc w:val="both"/>
        <w:rPr>
          <w:szCs w:val="24"/>
        </w:rPr>
      </w:pPr>
    </w:p>
    <w:p w14:paraId="41B0F450" w14:textId="77777777" w:rsidR="00013A0A" w:rsidRPr="00114433" w:rsidRDefault="00013A0A" w:rsidP="00013A0A">
      <w:pPr>
        <w:jc w:val="both"/>
        <w:rPr>
          <w:b/>
          <w:u w:val="single"/>
        </w:rPr>
      </w:pPr>
      <w:r w:rsidRPr="00114433">
        <w:rPr>
          <w:b/>
          <w:u w:val="single"/>
        </w:rPr>
        <w:t>Council</w:t>
      </w:r>
    </w:p>
    <w:p w14:paraId="3C998A6A" w14:textId="77777777" w:rsidR="00013A0A" w:rsidRPr="00114433" w:rsidRDefault="00013A0A" w:rsidP="00013A0A">
      <w:pPr>
        <w:jc w:val="both"/>
        <w:rPr>
          <w:b/>
        </w:rPr>
      </w:pPr>
    </w:p>
    <w:p w14:paraId="695FC6D1" w14:textId="77777777" w:rsidR="00013A0A" w:rsidRPr="00114433" w:rsidRDefault="00013A0A" w:rsidP="00013A0A">
      <w:pPr>
        <w:autoSpaceDE w:val="0"/>
        <w:autoSpaceDN w:val="0"/>
        <w:adjustRightInd w:val="0"/>
        <w:rPr>
          <w:rFonts w:cs="Arial"/>
          <w:color w:val="000000"/>
          <w:szCs w:val="24"/>
          <w:lang w:eastAsia="en-GB"/>
        </w:rPr>
      </w:pPr>
      <w:r w:rsidRPr="00114433">
        <w:rPr>
          <w:rFonts w:cs="Arial"/>
          <w:color w:val="000000"/>
          <w:szCs w:val="24"/>
          <w:lang w:eastAsia="en-GB"/>
        </w:rPr>
        <w:t>Under the Constitution, the Council is responsible for “decisions relating to the control of the Council’s borrowing requirement.”</w:t>
      </w:r>
    </w:p>
    <w:p w14:paraId="1A5B369D" w14:textId="77777777" w:rsidR="00013A0A" w:rsidRPr="00114433" w:rsidRDefault="00013A0A" w:rsidP="00013A0A">
      <w:pPr>
        <w:autoSpaceDE w:val="0"/>
        <w:autoSpaceDN w:val="0"/>
        <w:adjustRightInd w:val="0"/>
        <w:rPr>
          <w:rFonts w:cs="Arial"/>
          <w:color w:val="000000"/>
          <w:szCs w:val="24"/>
          <w:lang w:eastAsia="en-GB"/>
        </w:rPr>
      </w:pPr>
    </w:p>
    <w:p w14:paraId="384AF416" w14:textId="77777777" w:rsidR="00013A0A" w:rsidRPr="00114433" w:rsidRDefault="00013A0A" w:rsidP="00013A0A">
      <w:pPr>
        <w:autoSpaceDE w:val="0"/>
        <w:autoSpaceDN w:val="0"/>
        <w:adjustRightInd w:val="0"/>
        <w:jc w:val="both"/>
        <w:rPr>
          <w:rFonts w:cs="Arial"/>
          <w:color w:val="000000"/>
          <w:szCs w:val="24"/>
          <w:lang w:eastAsia="en-GB"/>
        </w:rPr>
      </w:pPr>
      <w:r w:rsidRPr="00114433">
        <w:rPr>
          <w:rFonts w:cs="Arial"/>
          <w:color w:val="000000"/>
          <w:szCs w:val="24"/>
          <w:lang w:eastAsia="en-GB"/>
        </w:rPr>
        <w:t>It agrees the annual Treasury Management Strategy Statement including Prudential Indicators, Minimum Revenue Provision Policy Statement and Annual Investment Strategy.</w:t>
      </w:r>
    </w:p>
    <w:p w14:paraId="2E82BBAC" w14:textId="77777777" w:rsidR="00013A0A" w:rsidRPr="00114433" w:rsidRDefault="00013A0A" w:rsidP="00013A0A">
      <w:pPr>
        <w:jc w:val="both"/>
        <w:rPr>
          <w:b/>
        </w:rPr>
      </w:pPr>
    </w:p>
    <w:p w14:paraId="68667A7E" w14:textId="77777777" w:rsidR="00013A0A" w:rsidRPr="00114433" w:rsidRDefault="00013A0A" w:rsidP="00013A0A">
      <w:pPr>
        <w:jc w:val="both"/>
        <w:rPr>
          <w:b/>
          <w:u w:val="single"/>
        </w:rPr>
      </w:pPr>
      <w:r w:rsidRPr="00114433">
        <w:rPr>
          <w:b/>
          <w:u w:val="single"/>
        </w:rPr>
        <w:t>Cabinet</w:t>
      </w:r>
    </w:p>
    <w:p w14:paraId="3E7618C7" w14:textId="77777777" w:rsidR="00013A0A" w:rsidRPr="00114433" w:rsidRDefault="00013A0A" w:rsidP="00013A0A">
      <w:pPr>
        <w:jc w:val="both"/>
      </w:pPr>
    </w:p>
    <w:p w14:paraId="53A15E70" w14:textId="77777777" w:rsidR="00013A0A" w:rsidRPr="009F523A" w:rsidRDefault="00013A0A" w:rsidP="009F523A">
      <w:pPr>
        <w:autoSpaceDE w:val="0"/>
        <w:autoSpaceDN w:val="0"/>
        <w:adjustRightInd w:val="0"/>
        <w:jc w:val="both"/>
        <w:rPr>
          <w:rFonts w:cs="Arial"/>
          <w:color w:val="000000"/>
          <w:szCs w:val="24"/>
          <w:lang w:eastAsia="en-GB"/>
        </w:rPr>
      </w:pPr>
      <w:r w:rsidRPr="009F523A">
        <w:rPr>
          <w:rFonts w:cs="Arial"/>
          <w:color w:val="000000"/>
          <w:szCs w:val="24"/>
          <w:lang w:eastAsia="en-GB"/>
        </w:rPr>
        <w:t>Under the Constitution, the Cabinet “will exercise all of the local authority functions which are not the responsibility of any other part of the local authority, whether by law or under this Constitution.”</w:t>
      </w:r>
    </w:p>
    <w:p w14:paraId="70B0C7D9" w14:textId="77777777" w:rsidR="00013A0A" w:rsidRPr="00114433" w:rsidRDefault="00013A0A" w:rsidP="00013A0A">
      <w:pPr>
        <w:autoSpaceDE w:val="0"/>
        <w:autoSpaceDN w:val="0"/>
        <w:adjustRightInd w:val="0"/>
      </w:pPr>
    </w:p>
    <w:p w14:paraId="48EFD5E1" w14:textId="77777777" w:rsidR="00013A0A" w:rsidRPr="00114433" w:rsidRDefault="00013A0A" w:rsidP="00013A0A">
      <w:pPr>
        <w:jc w:val="both"/>
      </w:pPr>
      <w:r w:rsidRPr="00114433">
        <w:rPr>
          <w:rFonts w:cs="Arial"/>
          <w:color w:val="000000"/>
          <w:szCs w:val="24"/>
          <w:lang w:eastAsia="en-GB"/>
        </w:rPr>
        <w:t>It considers and recommends to Council the annual Treasury Management Strategy Statement and receives a mid-year report and annual outturn report on Treasury Management activities.</w:t>
      </w:r>
    </w:p>
    <w:p w14:paraId="33ECF0EE" w14:textId="77777777" w:rsidR="00013A0A" w:rsidRPr="00114433" w:rsidRDefault="00013A0A" w:rsidP="00013A0A">
      <w:pPr>
        <w:jc w:val="both"/>
      </w:pPr>
    </w:p>
    <w:p w14:paraId="23E3AC49" w14:textId="77777777" w:rsidR="00013A0A" w:rsidRPr="00114433" w:rsidRDefault="00013A0A" w:rsidP="00013A0A">
      <w:pPr>
        <w:jc w:val="both"/>
        <w:rPr>
          <w:b/>
          <w:u w:val="single"/>
        </w:rPr>
      </w:pPr>
      <w:r w:rsidRPr="00114433">
        <w:rPr>
          <w:b/>
          <w:u w:val="single"/>
        </w:rPr>
        <w:t>Governance, Audit, Risk Management and Standards Committee</w:t>
      </w:r>
    </w:p>
    <w:p w14:paraId="70552D7B" w14:textId="77777777" w:rsidR="00013A0A" w:rsidRPr="00114433" w:rsidRDefault="00013A0A" w:rsidP="00013A0A">
      <w:pPr>
        <w:jc w:val="both"/>
        <w:rPr>
          <w:b/>
        </w:rPr>
      </w:pPr>
    </w:p>
    <w:p w14:paraId="0EBEB409" w14:textId="77777777" w:rsidR="00013A0A" w:rsidRPr="00114433" w:rsidRDefault="00013A0A" w:rsidP="00013A0A">
      <w:pPr>
        <w:jc w:val="both"/>
      </w:pPr>
      <w:r w:rsidRPr="00114433">
        <w:t>GARMSC reviews the Treasury Management Strategy and monitors progress on treasury management in accordance with CIPFA codes of practice.</w:t>
      </w:r>
    </w:p>
    <w:p w14:paraId="450D638F" w14:textId="77777777" w:rsidR="00013A0A" w:rsidRPr="00114433" w:rsidRDefault="00013A0A" w:rsidP="00013A0A">
      <w:pPr>
        <w:jc w:val="both"/>
      </w:pPr>
    </w:p>
    <w:p w14:paraId="2DB137D2" w14:textId="77777777" w:rsidR="00013A0A" w:rsidRPr="00114433" w:rsidRDefault="00013A0A" w:rsidP="00013A0A">
      <w:pPr>
        <w:jc w:val="both"/>
        <w:rPr>
          <w:b/>
          <w:u w:val="single"/>
        </w:rPr>
      </w:pPr>
      <w:r w:rsidRPr="00114433">
        <w:rPr>
          <w:b/>
          <w:u w:val="single"/>
        </w:rPr>
        <w:t xml:space="preserve">Director of Finance (Section 151 Officer)  </w:t>
      </w:r>
    </w:p>
    <w:p w14:paraId="02B74916" w14:textId="77777777" w:rsidR="00013A0A" w:rsidRPr="00114433" w:rsidRDefault="00013A0A" w:rsidP="00013A0A">
      <w:pPr>
        <w:jc w:val="both"/>
        <w:rPr>
          <w:b/>
        </w:rPr>
      </w:pPr>
    </w:p>
    <w:p w14:paraId="4C7B83A5" w14:textId="77777777" w:rsidR="00013A0A" w:rsidRPr="00114433" w:rsidRDefault="00013A0A" w:rsidP="00013A0A">
      <w:pPr>
        <w:jc w:val="both"/>
        <w:rPr>
          <w:rFonts w:cs="Arial"/>
          <w:color w:val="000000"/>
          <w:szCs w:val="24"/>
          <w:lang w:val="en" w:eastAsia="en-GB"/>
        </w:rPr>
      </w:pPr>
      <w:r w:rsidRPr="00114433">
        <w:rPr>
          <w:szCs w:val="24"/>
        </w:rPr>
        <w:t>Under S151 of the Local Government Act 1972 the Council “</w:t>
      </w:r>
      <w:r w:rsidRPr="00114433">
        <w:rPr>
          <w:rFonts w:cs="Arial"/>
          <w:color w:val="000000"/>
          <w:szCs w:val="24"/>
          <w:lang w:val="en" w:eastAsia="en-GB"/>
        </w:rPr>
        <w:t>shall make arrangements for the proper administration of their financial affairs and shall secure that one of their officers has responsibility for the administration of those affairs.”  At Harrow, this responsibility is exercised by the Director of Finance.</w:t>
      </w:r>
    </w:p>
    <w:p w14:paraId="397622B1" w14:textId="77777777" w:rsidR="00013A0A" w:rsidRPr="00114433" w:rsidRDefault="00013A0A" w:rsidP="00013A0A">
      <w:pPr>
        <w:jc w:val="both"/>
        <w:rPr>
          <w:rFonts w:cs="Arial"/>
          <w:color w:val="000000"/>
          <w:szCs w:val="24"/>
          <w:lang w:val="en" w:eastAsia="en-GB"/>
        </w:rPr>
      </w:pPr>
    </w:p>
    <w:p w14:paraId="041DB14D" w14:textId="77777777" w:rsidR="00013A0A" w:rsidRPr="00114433" w:rsidRDefault="00013A0A" w:rsidP="00013A0A">
      <w:pPr>
        <w:jc w:val="both"/>
        <w:rPr>
          <w:rFonts w:cs="Arial"/>
          <w:color w:val="000000"/>
          <w:szCs w:val="24"/>
          <w:lang w:val="en" w:eastAsia="en-GB"/>
        </w:rPr>
      </w:pPr>
      <w:r w:rsidRPr="00114433">
        <w:rPr>
          <w:rFonts w:cs="Arial"/>
          <w:color w:val="000000"/>
          <w:szCs w:val="24"/>
          <w:lang w:val="en" w:eastAsia="en-GB"/>
        </w:rPr>
        <w:t>The Director is responsibility for implementing the policies agreed by the Council and Cabinet.</w:t>
      </w:r>
    </w:p>
    <w:p w14:paraId="02279804" w14:textId="77777777" w:rsidR="00013A0A" w:rsidRPr="00114433" w:rsidRDefault="00013A0A" w:rsidP="00013A0A">
      <w:pPr>
        <w:jc w:val="both"/>
        <w:rPr>
          <w:rFonts w:cs="Arial"/>
          <w:color w:val="000000"/>
          <w:szCs w:val="24"/>
          <w:lang w:val="en" w:eastAsia="en-GB"/>
        </w:rPr>
      </w:pPr>
    </w:p>
    <w:p w14:paraId="43FF780B" w14:textId="77777777" w:rsidR="00013A0A" w:rsidRPr="00114433" w:rsidRDefault="00013A0A" w:rsidP="00013A0A">
      <w:pPr>
        <w:jc w:val="both"/>
        <w:rPr>
          <w:rFonts w:cs="Arial"/>
          <w:color w:val="000000"/>
          <w:szCs w:val="24"/>
          <w:lang w:val="en" w:eastAsia="en-GB"/>
        </w:rPr>
      </w:pPr>
      <w:r w:rsidRPr="00114433">
        <w:rPr>
          <w:rFonts w:cs="Arial"/>
          <w:color w:val="000000"/>
          <w:szCs w:val="24"/>
          <w:lang w:val="en" w:eastAsia="en-GB"/>
        </w:rPr>
        <w:t>Under the Local Government Finance Act 1988 and the Local Government Act 2003 the Director also has responsibilities in respect of budget arrangements and the adequacy of resources. In terms of Treasury Management this means that the financing costs of the Capital Programme are built into the Revenue Budget as are any assumptions on investment income.</w:t>
      </w:r>
    </w:p>
    <w:p w14:paraId="3AAD0661" w14:textId="77777777" w:rsidR="00013A0A" w:rsidRPr="00114433" w:rsidRDefault="00013A0A" w:rsidP="00013A0A">
      <w:pPr>
        <w:jc w:val="both"/>
        <w:rPr>
          <w:rFonts w:cs="Arial"/>
          <w:color w:val="000000"/>
          <w:szCs w:val="24"/>
          <w:lang w:val="en" w:eastAsia="en-GB"/>
        </w:rPr>
      </w:pPr>
    </w:p>
    <w:p w14:paraId="1ADA938D" w14:textId="77777777" w:rsidR="00013A0A" w:rsidRPr="00114433" w:rsidRDefault="00013A0A" w:rsidP="00013A0A">
      <w:pPr>
        <w:jc w:val="both"/>
      </w:pPr>
      <w:r w:rsidRPr="00114433">
        <w:rPr>
          <w:rFonts w:cs="Arial"/>
          <w:color w:val="000000"/>
          <w:szCs w:val="24"/>
          <w:lang w:val="en" w:eastAsia="en-GB"/>
        </w:rPr>
        <w:lastRenderedPageBreak/>
        <w:t>The Director chairs the Treasury Management Group and agrees major treasury management decisions, specifically including any borrowing decisions, delegated to officers.</w:t>
      </w:r>
    </w:p>
    <w:p w14:paraId="645F8F33" w14:textId="77777777" w:rsidR="00013A0A" w:rsidRDefault="00013A0A" w:rsidP="00013A0A">
      <w:pPr>
        <w:jc w:val="both"/>
        <w:rPr>
          <w:b/>
          <w:u w:val="single"/>
        </w:rPr>
      </w:pPr>
    </w:p>
    <w:p w14:paraId="4105946F" w14:textId="77777777" w:rsidR="00013A0A" w:rsidRPr="00114433" w:rsidRDefault="00013A0A" w:rsidP="00013A0A">
      <w:pPr>
        <w:jc w:val="both"/>
        <w:rPr>
          <w:b/>
          <w:u w:val="single"/>
        </w:rPr>
      </w:pPr>
      <w:r w:rsidRPr="00114433">
        <w:rPr>
          <w:b/>
          <w:u w:val="single"/>
        </w:rPr>
        <w:t>Treasury Management Group</w:t>
      </w:r>
    </w:p>
    <w:p w14:paraId="0E1C384D" w14:textId="77777777" w:rsidR="00013A0A" w:rsidRPr="00114433" w:rsidRDefault="00013A0A" w:rsidP="00013A0A">
      <w:pPr>
        <w:jc w:val="both"/>
        <w:rPr>
          <w:b/>
          <w:u w:val="single"/>
        </w:rPr>
      </w:pPr>
    </w:p>
    <w:p w14:paraId="6BA88A82" w14:textId="77777777" w:rsidR="00013A0A" w:rsidRPr="00114433" w:rsidRDefault="00013A0A" w:rsidP="00013A0A">
      <w:pPr>
        <w:autoSpaceDE w:val="0"/>
        <w:autoSpaceDN w:val="0"/>
        <w:adjustRightInd w:val="0"/>
        <w:jc w:val="both"/>
        <w:rPr>
          <w:rFonts w:cs="Arial"/>
          <w:color w:val="000000"/>
          <w:szCs w:val="24"/>
          <w:lang w:eastAsia="en-GB"/>
        </w:rPr>
      </w:pPr>
      <w:r w:rsidRPr="00114433">
        <w:rPr>
          <w:rFonts w:cs="Arial"/>
          <w:color w:val="000000"/>
          <w:szCs w:val="24"/>
          <w:lang w:eastAsia="en-GB"/>
        </w:rPr>
        <w:t>Comprises Director of Finance, Head of Strategic and Technical Finance (Deputy S151 Officer</w:t>
      </w:r>
      <w:r w:rsidRPr="00BF7865">
        <w:rPr>
          <w:rFonts w:cs="Arial"/>
          <w:color w:val="000000"/>
          <w:szCs w:val="24"/>
          <w:lang w:eastAsia="en-GB"/>
        </w:rPr>
        <w:t>), Treasury and Pensions Manager, Senior</w:t>
      </w:r>
      <w:r w:rsidRPr="00114433">
        <w:rPr>
          <w:rFonts w:cs="Arial"/>
          <w:color w:val="000000"/>
          <w:szCs w:val="24"/>
          <w:lang w:eastAsia="en-GB"/>
        </w:rPr>
        <w:t xml:space="preserve"> Finance Officer and is responsible for:</w:t>
      </w:r>
    </w:p>
    <w:p w14:paraId="3BD68155" w14:textId="77777777" w:rsidR="00013A0A" w:rsidRPr="00114433" w:rsidRDefault="00013A0A" w:rsidP="009E715C">
      <w:pPr>
        <w:numPr>
          <w:ilvl w:val="0"/>
          <w:numId w:val="36"/>
        </w:numPr>
        <w:autoSpaceDE w:val="0"/>
        <w:autoSpaceDN w:val="0"/>
        <w:adjustRightInd w:val="0"/>
        <w:jc w:val="both"/>
        <w:rPr>
          <w:rFonts w:cs="Arial"/>
          <w:color w:val="000000"/>
          <w:szCs w:val="24"/>
          <w:lang w:eastAsia="en-GB"/>
        </w:rPr>
      </w:pPr>
      <w:r w:rsidRPr="00114433">
        <w:rPr>
          <w:rFonts w:cs="Arial"/>
          <w:color w:val="000000"/>
          <w:szCs w:val="24"/>
          <w:lang w:eastAsia="en-GB"/>
        </w:rPr>
        <w:t>Monitoring treasury management activity against approved strategy, policy, practices and market conditions;</w:t>
      </w:r>
    </w:p>
    <w:p w14:paraId="2F2C6722" w14:textId="77777777" w:rsidR="00013A0A" w:rsidRPr="00114433" w:rsidRDefault="00013A0A" w:rsidP="009E715C">
      <w:pPr>
        <w:numPr>
          <w:ilvl w:val="0"/>
          <w:numId w:val="36"/>
        </w:numPr>
        <w:autoSpaceDE w:val="0"/>
        <w:autoSpaceDN w:val="0"/>
        <w:adjustRightInd w:val="0"/>
        <w:jc w:val="both"/>
        <w:rPr>
          <w:rFonts w:cs="Arial"/>
          <w:color w:val="000000"/>
          <w:szCs w:val="24"/>
          <w:lang w:eastAsia="en-GB"/>
        </w:rPr>
      </w:pPr>
      <w:r w:rsidRPr="00114433">
        <w:rPr>
          <w:rFonts w:cs="Arial"/>
          <w:color w:val="000000"/>
          <w:szCs w:val="24"/>
          <w:lang w:eastAsia="en-GB"/>
        </w:rPr>
        <w:t>Ensuring that capital expenditure plans are continually reviewed in line with budget assumptions throughout the year to forecast when borrowing will be required.</w:t>
      </w:r>
    </w:p>
    <w:p w14:paraId="557D413E" w14:textId="77777777" w:rsidR="00013A0A" w:rsidRPr="00114433" w:rsidRDefault="00013A0A" w:rsidP="009E715C">
      <w:pPr>
        <w:numPr>
          <w:ilvl w:val="0"/>
          <w:numId w:val="36"/>
        </w:numPr>
        <w:autoSpaceDE w:val="0"/>
        <w:autoSpaceDN w:val="0"/>
        <w:adjustRightInd w:val="0"/>
        <w:jc w:val="both"/>
        <w:rPr>
          <w:rFonts w:cs="Arial"/>
          <w:color w:val="000000"/>
          <w:szCs w:val="24"/>
          <w:lang w:eastAsia="en-GB"/>
        </w:rPr>
      </w:pPr>
      <w:r w:rsidRPr="00114433">
        <w:rPr>
          <w:rFonts w:cs="Arial"/>
          <w:color w:val="000000"/>
          <w:szCs w:val="24"/>
          <w:lang w:eastAsia="en-GB"/>
        </w:rPr>
        <w:t>Approving changes to treasury management practices and procedures;</w:t>
      </w:r>
    </w:p>
    <w:p w14:paraId="413CC2B6" w14:textId="57975BA2" w:rsidR="00013A0A" w:rsidRPr="00114433" w:rsidRDefault="00013A0A" w:rsidP="009E715C">
      <w:pPr>
        <w:numPr>
          <w:ilvl w:val="0"/>
          <w:numId w:val="36"/>
        </w:numPr>
        <w:autoSpaceDE w:val="0"/>
        <w:autoSpaceDN w:val="0"/>
        <w:adjustRightInd w:val="0"/>
        <w:jc w:val="both"/>
        <w:rPr>
          <w:rFonts w:cs="Arial"/>
          <w:color w:val="000000"/>
          <w:szCs w:val="24"/>
          <w:lang w:eastAsia="en-GB"/>
        </w:rPr>
      </w:pPr>
      <w:r w:rsidRPr="00114433">
        <w:rPr>
          <w:rFonts w:cs="Arial"/>
          <w:color w:val="000000"/>
          <w:szCs w:val="24"/>
          <w:lang w:eastAsia="en-GB"/>
        </w:rPr>
        <w:t>Reviewing the performance of the treasury management function using benchmarking data on borrowing and investment provided by the Treasury Management Adviser (Link Asset Services);</w:t>
      </w:r>
    </w:p>
    <w:p w14:paraId="53069C21" w14:textId="77777777" w:rsidR="00013A0A" w:rsidRPr="00114433" w:rsidRDefault="00013A0A" w:rsidP="009E715C">
      <w:pPr>
        <w:numPr>
          <w:ilvl w:val="0"/>
          <w:numId w:val="36"/>
        </w:numPr>
        <w:autoSpaceDE w:val="0"/>
        <w:autoSpaceDN w:val="0"/>
        <w:adjustRightInd w:val="0"/>
        <w:jc w:val="both"/>
        <w:rPr>
          <w:rFonts w:cs="Arial"/>
          <w:color w:val="000000"/>
          <w:szCs w:val="24"/>
          <w:lang w:eastAsia="en-GB"/>
        </w:rPr>
      </w:pPr>
      <w:r w:rsidRPr="00114433">
        <w:rPr>
          <w:rFonts w:cs="Arial"/>
          <w:color w:val="000000"/>
          <w:szCs w:val="24"/>
          <w:lang w:eastAsia="en-GB"/>
        </w:rPr>
        <w:t>Monitoring the performance of the appointed Treasury Management Adviser and recommending any necessary actions</w:t>
      </w:r>
    </w:p>
    <w:p w14:paraId="3FA079ED" w14:textId="77777777" w:rsidR="00013A0A" w:rsidRPr="00114433" w:rsidRDefault="00013A0A" w:rsidP="009E715C">
      <w:pPr>
        <w:numPr>
          <w:ilvl w:val="0"/>
          <w:numId w:val="36"/>
        </w:numPr>
        <w:autoSpaceDE w:val="0"/>
        <w:autoSpaceDN w:val="0"/>
        <w:adjustRightInd w:val="0"/>
        <w:jc w:val="both"/>
        <w:rPr>
          <w:rFonts w:cs="Arial"/>
          <w:color w:val="000000"/>
          <w:szCs w:val="24"/>
          <w:lang w:eastAsia="en-GB"/>
        </w:rPr>
      </w:pPr>
      <w:r w:rsidRPr="00114433">
        <w:rPr>
          <w:rFonts w:cs="Arial"/>
          <w:color w:val="000000"/>
          <w:szCs w:val="24"/>
          <w:lang w:eastAsia="en-GB"/>
        </w:rPr>
        <w:t>Ensuring the adequacy of treasury management resources and skills and the effective division of responsibilities within the treasury management function;</w:t>
      </w:r>
    </w:p>
    <w:p w14:paraId="0A724E12" w14:textId="77777777" w:rsidR="00013A0A" w:rsidRPr="00114433" w:rsidRDefault="00013A0A" w:rsidP="009E715C">
      <w:pPr>
        <w:numPr>
          <w:ilvl w:val="0"/>
          <w:numId w:val="36"/>
        </w:numPr>
        <w:jc w:val="both"/>
        <w:rPr>
          <w:b/>
          <w:u w:val="single"/>
        </w:rPr>
      </w:pPr>
      <w:r w:rsidRPr="00114433">
        <w:rPr>
          <w:rFonts w:cs="Arial"/>
          <w:color w:val="000000"/>
          <w:szCs w:val="24"/>
          <w:lang w:eastAsia="en-GB"/>
        </w:rPr>
        <w:t>Monitoring the adequacy of internal audit reviews and the implementation of audit recommendations</w:t>
      </w:r>
    </w:p>
    <w:p w14:paraId="5E29BB44" w14:textId="77777777" w:rsidR="00013A0A" w:rsidRPr="00114433" w:rsidRDefault="00013A0A" w:rsidP="00013A0A">
      <w:pPr>
        <w:jc w:val="both"/>
        <w:rPr>
          <w:b/>
          <w:u w:val="single"/>
        </w:rPr>
      </w:pPr>
    </w:p>
    <w:p w14:paraId="0201F86C" w14:textId="77777777" w:rsidR="00013A0A" w:rsidRPr="00A24003" w:rsidRDefault="00013A0A" w:rsidP="00013A0A">
      <w:pPr>
        <w:jc w:val="both"/>
        <w:rPr>
          <w:b/>
          <w:u w:val="single"/>
        </w:rPr>
      </w:pPr>
      <w:r w:rsidRPr="00A24003">
        <w:rPr>
          <w:b/>
          <w:u w:val="single"/>
        </w:rPr>
        <w:t>Treasury and Pensions Manager</w:t>
      </w:r>
    </w:p>
    <w:p w14:paraId="20A3FD1C" w14:textId="77777777" w:rsidR="00013A0A" w:rsidRPr="00A24003" w:rsidRDefault="00013A0A" w:rsidP="00013A0A">
      <w:pPr>
        <w:jc w:val="both"/>
        <w:rPr>
          <w:b/>
          <w:u w:val="single"/>
        </w:rPr>
      </w:pPr>
    </w:p>
    <w:p w14:paraId="4E31E5A7" w14:textId="520CFFC7" w:rsidR="00013A0A" w:rsidRDefault="00013A0A" w:rsidP="00013A0A">
      <w:pPr>
        <w:jc w:val="both"/>
        <w:rPr>
          <w:rFonts w:cs="Arial"/>
          <w:color w:val="000000"/>
          <w:szCs w:val="24"/>
          <w:lang w:eastAsia="en-GB"/>
        </w:rPr>
      </w:pPr>
      <w:r w:rsidRPr="00A24003">
        <w:rPr>
          <w:rFonts w:cs="Arial"/>
          <w:color w:val="000000"/>
          <w:szCs w:val="24"/>
          <w:lang w:eastAsia="en-GB"/>
        </w:rPr>
        <w:t>Responsible for the execution and administration of treasury management decisions, acting in accordance with the Council’s Treasury Management Strategy Statement and CIPFA’s “Standard of Professional Practice on Treasury Management”</w:t>
      </w:r>
    </w:p>
    <w:p w14:paraId="57BD6922" w14:textId="18771026" w:rsidR="006362A4" w:rsidRDefault="006362A4" w:rsidP="00013A0A">
      <w:pPr>
        <w:jc w:val="both"/>
        <w:rPr>
          <w:rFonts w:cs="Arial"/>
          <w:color w:val="000000"/>
          <w:szCs w:val="24"/>
          <w:lang w:eastAsia="en-GB"/>
        </w:rPr>
      </w:pPr>
    </w:p>
    <w:p w14:paraId="6B441746" w14:textId="77777777" w:rsidR="00013A0A" w:rsidRPr="00114433" w:rsidRDefault="00013A0A" w:rsidP="00013A0A">
      <w:pPr>
        <w:jc w:val="both"/>
        <w:rPr>
          <w:b/>
          <w:u w:val="single"/>
        </w:rPr>
      </w:pPr>
    </w:p>
    <w:p w14:paraId="2E3DCFF1" w14:textId="77777777" w:rsidR="00013A0A" w:rsidRPr="00114433" w:rsidRDefault="00013A0A" w:rsidP="00013A0A">
      <w:pPr>
        <w:jc w:val="both"/>
        <w:rPr>
          <w:b/>
          <w:u w:val="single"/>
        </w:rPr>
      </w:pPr>
      <w:r w:rsidRPr="00114433">
        <w:rPr>
          <w:b/>
          <w:u w:val="single"/>
        </w:rPr>
        <w:t xml:space="preserve">Treasury Team </w:t>
      </w:r>
    </w:p>
    <w:p w14:paraId="145F1F9A" w14:textId="77777777" w:rsidR="00013A0A" w:rsidRPr="00114433" w:rsidRDefault="00013A0A" w:rsidP="00013A0A">
      <w:pPr>
        <w:jc w:val="both"/>
        <w:rPr>
          <w:b/>
          <w:u w:val="single"/>
        </w:rPr>
      </w:pPr>
    </w:p>
    <w:p w14:paraId="204C22A0" w14:textId="77777777" w:rsidR="00013A0A" w:rsidRDefault="00013A0A" w:rsidP="00013A0A">
      <w:pPr>
        <w:jc w:val="both"/>
        <w:rPr>
          <w:rFonts w:cs="Arial"/>
          <w:color w:val="000000"/>
          <w:szCs w:val="24"/>
          <w:lang w:eastAsia="en-GB"/>
        </w:rPr>
      </w:pPr>
      <w:r w:rsidRPr="00114433">
        <w:rPr>
          <w:rFonts w:cs="Arial"/>
          <w:color w:val="000000"/>
          <w:szCs w:val="24"/>
          <w:lang w:eastAsia="en-GB"/>
        </w:rPr>
        <w:t>Headed by Senior Finance Officer with responsibility for day-to-day treasury and investment and borrowing activity in accordance with approved Strategy, policy, practices and procedures and for recommending changes to the Treasury Management Group</w:t>
      </w:r>
    </w:p>
    <w:p w14:paraId="23D91923" w14:textId="77777777" w:rsidR="00013A0A" w:rsidRPr="00114433" w:rsidRDefault="00013A0A" w:rsidP="00013A0A">
      <w:pPr>
        <w:jc w:val="right"/>
        <w:rPr>
          <w:b/>
          <w:sz w:val="32"/>
          <w:szCs w:val="32"/>
        </w:rPr>
      </w:pPr>
      <w:r>
        <w:rPr>
          <w:rFonts w:cs="Arial"/>
          <w:color w:val="000000"/>
          <w:szCs w:val="24"/>
          <w:lang w:eastAsia="en-GB"/>
        </w:rPr>
        <w:br w:type="page"/>
      </w:r>
      <w:r w:rsidRPr="00114433">
        <w:rPr>
          <w:b/>
          <w:sz w:val="32"/>
          <w:szCs w:val="32"/>
        </w:rPr>
        <w:lastRenderedPageBreak/>
        <w:t>APPENDIX C</w:t>
      </w:r>
    </w:p>
    <w:p w14:paraId="5AA6125B" w14:textId="77777777" w:rsidR="00013A0A" w:rsidRPr="00114433" w:rsidRDefault="00013A0A" w:rsidP="00013A0A">
      <w:pPr>
        <w:spacing w:before="270" w:after="180"/>
        <w:jc w:val="both"/>
        <w:rPr>
          <w:rFonts w:cs="Arial"/>
          <w:b/>
          <w:color w:val="0D0D0D"/>
          <w:szCs w:val="24"/>
        </w:rPr>
      </w:pPr>
      <w:r w:rsidRPr="00114433">
        <w:rPr>
          <w:rFonts w:cs="Arial"/>
          <w:b/>
          <w:noProof/>
          <w:sz w:val="32"/>
          <w:szCs w:val="32"/>
        </w:rPr>
        <w:t>Minimum Revenue Provision (MRP) Policy Statement</w:t>
      </w:r>
    </w:p>
    <w:p w14:paraId="301B0134" w14:textId="77777777" w:rsidR="00013A0A" w:rsidRDefault="00013A0A" w:rsidP="008E3E63">
      <w:pPr>
        <w:numPr>
          <w:ilvl w:val="0"/>
          <w:numId w:val="32"/>
        </w:numPr>
        <w:ind w:hanging="294"/>
        <w:jc w:val="both"/>
        <w:rPr>
          <w:rFonts w:cs="Arial"/>
          <w:bCs/>
          <w:szCs w:val="24"/>
        </w:rPr>
      </w:pPr>
      <w:r w:rsidRPr="009B6031">
        <w:rPr>
          <w:rFonts w:cs="Arial"/>
          <w:bCs/>
          <w:szCs w:val="24"/>
        </w:rPr>
        <w:t>For capital expenditure incurred before 1 April 2008 or which in the future will be Supported Capital Expenditure, the MRP policy will be the equal annual reduction of 2% of the outstanding debt at 1 April 2015 for the subsequent 50 years.</w:t>
      </w:r>
    </w:p>
    <w:p w14:paraId="170A010F" w14:textId="77777777" w:rsidR="00013A0A" w:rsidRPr="009B6031" w:rsidRDefault="00013A0A" w:rsidP="00013A0A">
      <w:pPr>
        <w:ind w:left="720"/>
        <w:jc w:val="both"/>
        <w:rPr>
          <w:rFonts w:cs="Arial"/>
          <w:bCs/>
          <w:szCs w:val="24"/>
        </w:rPr>
      </w:pPr>
    </w:p>
    <w:p w14:paraId="75D755C4" w14:textId="77777777" w:rsidR="00013A0A" w:rsidRPr="00BF7865" w:rsidRDefault="00013A0A" w:rsidP="008E3E63">
      <w:pPr>
        <w:numPr>
          <w:ilvl w:val="0"/>
          <w:numId w:val="31"/>
        </w:numPr>
        <w:ind w:left="709" w:hanging="283"/>
        <w:jc w:val="both"/>
        <w:rPr>
          <w:rFonts w:cs="Arial"/>
          <w:bCs/>
          <w:szCs w:val="24"/>
        </w:rPr>
      </w:pPr>
      <w:bookmarkStart w:id="16" w:name="_Hlk63078335"/>
      <w:r w:rsidRPr="00BF7865">
        <w:rPr>
          <w:rFonts w:cs="Arial"/>
          <w:bCs/>
          <w:szCs w:val="24"/>
        </w:rPr>
        <w:t xml:space="preserve">For all capital expenditure financed from unsupported (prudential) borrowing (including PFI and finance leases), MRP will be based upon an asset life method in accordance with Option 3 of the guidance.  </w:t>
      </w:r>
    </w:p>
    <w:bookmarkEnd w:id="16"/>
    <w:p w14:paraId="61023EAE" w14:textId="77777777" w:rsidR="00013A0A" w:rsidRPr="00BF7865" w:rsidRDefault="00013A0A" w:rsidP="00013A0A">
      <w:pPr>
        <w:jc w:val="both"/>
        <w:rPr>
          <w:rFonts w:cs="Arial"/>
          <w:bCs/>
          <w:szCs w:val="24"/>
        </w:rPr>
      </w:pPr>
    </w:p>
    <w:p w14:paraId="2E2B8A6E" w14:textId="77777777" w:rsidR="00013A0A" w:rsidRPr="00BF7865" w:rsidRDefault="00013A0A" w:rsidP="008E3E63">
      <w:pPr>
        <w:numPr>
          <w:ilvl w:val="0"/>
          <w:numId w:val="31"/>
        </w:numPr>
        <w:ind w:left="709" w:hanging="283"/>
        <w:jc w:val="both"/>
        <w:rPr>
          <w:rFonts w:cs="Arial"/>
          <w:bCs/>
          <w:szCs w:val="24"/>
        </w:rPr>
      </w:pPr>
      <w:r w:rsidRPr="00BF7865">
        <w:rPr>
          <w:rFonts w:cs="Arial"/>
          <w:bCs/>
          <w:szCs w:val="24"/>
        </w:rPr>
        <w:t>In some cases where a scheme is financed by prudential borrowing it may be appropriate to vary the profile of the MRP charge to reflect the future income streams associated with the asset, whilst retaining the principle that the full amount of borrowing will be charged as MRP over the asset’s estimated useful life.</w:t>
      </w:r>
    </w:p>
    <w:p w14:paraId="576A630B" w14:textId="5A8D95F8" w:rsidR="00013A0A" w:rsidRPr="00BF7865" w:rsidRDefault="00013A0A" w:rsidP="008E3E63">
      <w:pPr>
        <w:numPr>
          <w:ilvl w:val="0"/>
          <w:numId w:val="31"/>
        </w:numPr>
        <w:spacing w:before="120" w:after="120" w:line="280" w:lineRule="exact"/>
        <w:jc w:val="both"/>
        <w:rPr>
          <w:rFonts w:eastAsia="Calibri" w:cs="Arial"/>
          <w:iCs/>
          <w:szCs w:val="24"/>
          <w:lang w:eastAsia="en-GB"/>
        </w:rPr>
      </w:pPr>
      <w:r w:rsidRPr="00BF7865">
        <w:rPr>
          <w:rFonts w:eastAsia="Calibri" w:cs="Arial"/>
          <w:iCs/>
          <w:szCs w:val="24"/>
          <w:lang w:eastAsia="en-GB"/>
        </w:rPr>
        <w:t>The regulations allow the Council to charge V</w:t>
      </w:r>
      <w:r w:rsidR="00AC718C" w:rsidRPr="00BF7865">
        <w:rPr>
          <w:rFonts w:eastAsia="Calibri" w:cs="Arial"/>
          <w:iCs/>
          <w:szCs w:val="24"/>
          <w:lang w:eastAsia="en-GB"/>
        </w:rPr>
        <w:t>M</w:t>
      </w:r>
      <w:r w:rsidRPr="00BF7865">
        <w:rPr>
          <w:rFonts w:eastAsia="Calibri" w:cs="Arial"/>
          <w:iCs/>
          <w:szCs w:val="24"/>
          <w:lang w:eastAsia="en-GB"/>
        </w:rPr>
        <w:t xml:space="preserve">RP, which can be used to reduce future MRP by the same amount. A change introduced by the revised MHCLG MRP Guidance is that the voluntary MRP must be disclosed in a statement to the full council in order to reclaim it in future years as deemed necessary and prudent. </w:t>
      </w:r>
      <w:r w:rsidR="00F56220" w:rsidRPr="00BF7865">
        <w:rPr>
          <w:rFonts w:eastAsia="Calibri" w:cs="Arial"/>
          <w:iCs/>
          <w:szCs w:val="24"/>
          <w:lang w:eastAsia="en-GB"/>
        </w:rPr>
        <w:t xml:space="preserve">As at March 2020, the VRP is £7.8m. </w:t>
      </w:r>
    </w:p>
    <w:p w14:paraId="276688F8" w14:textId="77777777" w:rsidR="00013A0A" w:rsidRPr="00114433" w:rsidRDefault="00013A0A" w:rsidP="008E3E63">
      <w:pPr>
        <w:numPr>
          <w:ilvl w:val="0"/>
          <w:numId w:val="31"/>
        </w:numPr>
        <w:ind w:left="709" w:hanging="283"/>
        <w:jc w:val="both"/>
        <w:rPr>
          <w:rFonts w:cs="Arial"/>
          <w:bCs/>
          <w:szCs w:val="24"/>
        </w:rPr>
      </w:pPr>
      <w:r w:rsidRPr="00114433">
        <w:rPr>
          <w:rFonts w:cs="Arial"/>
          <w:bCs/>
          <w:szCs w:val="24"/>
        </w:rPr>
        <w:t xml:space="preserve">Estimated life periods and amortisation methodologies will be determined under delegated powers.  </w:t>
      </w:r>
      <w:r w:rsidRPr="00114433">
        <w:rPr>
          <w:rFonts w:eastAsia="Calibri" w:cs="Arial"/>
          <w:bCs/>
          <w:szCs w:val="24"/>
          <w:lang w:eastAsia="en-GB"/>
        </w:rPr>
        <w:t>To the extent that expenditure is not on the creation of an asset and is of a type that is subject to estimated life periods that are referred to in the guidance, these periods will generally be adopted by the Council. However, the Council reserves the right to determine useful life periods and prudent MRP in exceptional circumstances where the recommendations of the guidance would not be appropriate.</w:t>
      </w:r>
    </w:p>
    <w:p w14:paraId="23A1621F" w14:textId="77777777" w:rsidR="00013A0A" w:rsidRPr="00114433" w:rsidRDefault="00013A0A" w:rsidP="00013A0A">
      <w:pPr>
        <w:ind w:left="720"/>
        <w:jc w:val="both"/>
        <w:rPr>
          <w:szCs w:val="24"/>
        </w:rPr>
      </w:pPr>
    </w:p>
    <w:p w14:paraId="013DF271" w14:textId="77777777" w:rsidR="00013A0A" w:rsidRPr="00114433" w:rsidRDefault="00013A0A" w:rsidP="008E3E63">
      <w:pPr>
        <w:numPr>
          <w:ilvl w:val="0"/>
          <w:numId w:val="31"/>
        </w:numPr>
        <w:ind w:left="709" w:hanging="283"/>
        <w:jc w:val="both"/>
        <w:rPr>
          <w:rFonts w:cs="Arial"/>
          <w:bCs/>
          <w:szCs w:val="24"/>
        </w:rPr>
      </w:pPr>
      <w:r w:rsidRPr="00114433">
        <w:rPr>
          <w:rFonts w:cs="Arial"/>
          <w:bCs/>
          <w:szCs w:val="24"/>
        </w:rPr>
        <w:t>Freehold l</w:t>
      </w:r>
      <w:r w:rsidRPr="00114433">
        <w:rPr>
          <w:rFonts w:cs="Arial"/>
          <w:szCs w:val="24"/>
        </w:rPr>
        <w:t>and</w:t>
      </w:r>
      <w:r w:rsidRPr="00114433">
        <w:rPr>
          <w:rFonts w:cs="Arial"/>
          <w:bCs/>
          <w:szCs w:val="24"/>
        </w:rPr>
        <w:t xml:space="preserve"> cannot properly have a life attributed to it, so for the purposes of Asset Life method it will be treated as equal to a maximum of 50 years. But if there is a structure on the land which the authority considers to have a life longer than 50 years, that same life estimate will be used for the land.</w:t>
      </w:r>
    </w:p>
    <w:p w14:paraId="408A8ED9" w14:textId="77777777" w:rsidR="00013A0A" w:rsidRPr="00114433" w:rsidRDefault="00013A0A" w:rsidP="00013A0A">
      <w:pPr>
        <w:ind w:left="720"/>
        <w:jc w:val="both"/>
        <w:rPr>
          <w:rFonts w:eastAsia="Calibri"/>
          <w:szCs w:val="24"/>
          <w:lang w:eastAsia="en-GB"/>
        </w:rPr>
      </w:pPr>
    </w:p>
    <w:p w14:paraId="1E9704B6" w14:textId="77777777" w:rsidR="00013A0A" w:rsidRPr="00114433" w:rsidRDefault="00013A0A" w:rsidP="008E3E63">
      <w:pPr>
        <w:numPr>
          <w:ilvl w:val="0"/>
          <w:numId w:val="31"/>
        </w:numPr>
        <w:ind w:left="709" w:hanging="283"/>
        <w:jc w:val="both"/>
        <w:rPr>
          <w:rFonts w:cs="Arial"/>
          <w:bCs/>
          <w:szCs w:val="24"/>
        </w:rPr>
      </w:pPr>
      <w:r w:rsidRPr="00114433">
        <w:rPr>
          <w:rFonts w:eastAsia="Calibri" w:cs="Arial"/>
          <w:bCs/>
          <w:szCs w:val="24"/>
          <w:lang w:eastAsia="en-GB"/>
        </w:rPr>
        <w:t xml:space="preserve">As some types of capital expenditure incurred by the Council are not capable of being related to an individual asset, asset lives will be assessed on a basis which most reasonably reflects the anticipated period of benefit that arises from the expenditure.  Also, whatever type of expenditure is involved, it will be grouped together in a manner which reflects the nature of the main component of expenditure and will only be divided up in cases where there are two or more major components with substantially different useful economic lives. </w:t>
      </w:r>
    </w:p>
    <w:p w14:paraId="229C6BF2" w14:textId="77777777" w:rsidR="00013A0A" w:rsidRPr="00114433" w:rsidRDefault="00013A0A" w:rsidP="00013A0A">
      <w:pPr>
        <w:ind w:left="720"/>
        <w:jc w:val="both"/>
        <w:rPr>
          <w:rFonts w:eastAsia="Calibri"/>
          <w:szCs w:val="24"/>
          <w:lang w:eastAsia="en-GB"/>
        </w:rPr>
      </w:pPr>
    </w:p>
    <w:p w14:paraId="65E5F4BC" w14:textId="77777777" w:rsidR="00013A0A" w:rsidRPr="00BF7865" w:rsidRDefault="00013A0A" w:rsidP="008E3E63">
      <w:pPr>
        <w:numPr>
          <w:ilvl w:val="0"/>
          <w:numId w:val="31"/>
        </w:numPr>
        <w:ind w:left="709" w:hanging="283"/>
        <w:jc w:val="both"/>
        <w:rPr>
          <w:rFonts w:cs="Arial"/>
          <w:bCs/>
          <w:szCs w:val="24"/>
        </w:rPr>
      </w:pPr>
      <w:bookmarkStart w:id="17" w:name="_Hlk63078359"/>
      <w:r w:rsidRPr="00BF7865">
        <w:rPr>
          <w:rFonts w:eastAsia="Calibri" w:cs="Arial"/>
          <w:bCs/>
          <w:szCs w:val="24"/>
          <w:lang w:eastAsia="en-GB"/>
        </w:rPr>
        <w:t>Repayments included in annual PFI or finance leases are applied as MRP.</w:t>
      </w:r>
    </w:p>
    <w:bookmarkEnd w:id="17"/>
    <w:p w14:paraId="41EAB7A0" w14:textId="77777777" w:rsidR="00013A0A" w:rsidRPr="00BF7865" w:rsidRDefault="00013A0A" w:rsidP="00013A0A">
      <w:pPr>
        <w:ind w:left="720"/>
        <w:jc w:val="both"/>
        <w:rPr>
          <w:rFonts w:eastAsia="Calibri"/>
          <w:szCs w:val="24"/>
          <w:lang w:eastAsia="en-GB"/>
        </w:rPr>
      </w:pPr>
    </w:p>
    <w:p w14:paraId="64933B1B" w14:textId="77777777" w:rsidR="00013A0A" w:rsidRPr="00BF7865" w:rsidRDefault="00013A0A" w:rsidP="008E3E63">
      <w:pPr>
        <w:numPr>
          <w:ilvl w:val="0"/>
          <w:numId w:val="31"/>
        </w:numPr>
        <w:ind w:left="709" w:hanging="283"/>
        <w:jc w:val="both"/>
        <w:rPr>
          <w:rFonts w:cs="Arial"/>
          <w:bCs/>
          <w:szCs w:val="24"/>
        </w:rPr>
      </w:pPr>
      <w:r w:rsidRPr="00BF7865">
        <w:rPr>
          <w:rFonts w:eastAsia="Calibri" w:cs="Arial"/>
          <w:bCs/>
          <w:szCs w:val="24"/>
          <w:lang w:eastAsia="en-GB"/>
        </w:rPr>
        <w:lastRenderedPageBreak/>
        <w:t>Where borrowing is undertaken for the construction of new assets, MRP will only become chargeable once such assets are completed and operational.</w:t>
      </w:r>
    </w:p>
    <w:p w14:paraId="7F4F6DAC" w14:textId="77777777" w:rsidR="00013A0A" w:rsidRPr="00BF7865" w:rsidRDefault="00013A0A" w:rsidP="00013A0A">
      <w:pPr>
        <w:ind w:left="709"/>
        <w:jc w:val="both"/>
        <w:rPr>
          <w:rFonts w:cs="Arial"/>
          <w:bCs/>
          <w:szCs w:val="24"/>
        </w:rPr>
      </w:pPr>
    </w:p>
    <w:p w14:paraId="252F4AC9" w14:textId="5674813A" w:rsidR="00013A0A" w:rsidRPr="00BF7865" w:rsidRDefault="00013A0A" w:rsidP="008E3E63">
      <w:pPr>
        <w:numPr>
          <w:ilvl w:val="0"/>
          <w:numId w:val="31"/>
        </w:numPr>
        <w:ind w:left="709" w:hanging="283"/>
        <w:jc w:val="both"/>
        <w:rPr>
          <w:rFonts w:cs="Arial"/>
          <w:bCs/>
          <w:szCs w:val="24"/>
        </w:rPr>
      </w:pPr>
      <w:r w:rsidRPr="00BF7865">
        <w:rPr>
          <w:rFonts w:eastAsia="Calibri" w:cs="Arial"/>
          <w:bCs/>
          <w:szCs w:val="24"/>
          <w:lang w:eastAsia="en-GB"/>
        </w:rPr>
        <w:t>Under Treasury Management best practice the Council may decide to defer borrowing up to the capital financing requirement (CFR) and use internal resources instead. Where internal borrowing has been used, the amount chargeable as MRP may be adjusted to reflect the deferral of actual borrowing.</w:t>
      </w:r>
    </w:p>
    <w:p w14:paraId="4B710212" w14:textId="77777777" w:rsidR="00AC718C" w:rsidRDefault="00AC718C" w:rsidP="00AC718C">
      <w:pPr>
        <w:pStyle w:val="ListParagraph"/>
        <w:rPr>
          <w:rFonts w:cs="Arial"/>
          <w:bCs/>
          <w:szCs w:val="24"/>
        </w:rPr>
      </w:pPr>
    </w:p>
    <w:p w14:paraId="6708858C" w14:textId="24AF6B15" w:rsidR="00AC718C" w:rsidRPr="00114433" w:rsidRDefault="00AC718C" w:rsidP="0018443E">
      <w:pPr>
        <w:rPr>
          <w:rFonts w:cs="Arial"/>
          <w:bCs/>
          <w:szCs w:val="24"/>
        </w:rPr>
      </w:pPr>
      <w:r>
        <w:rPr>
          <w:rFonts w:cs="Arial"/>
          <w:bCs/>
          <w:szCs w:val="24"/>
        </w:rPr>
        <w:br w:type="page"/>
      </w:r>
    </w:p>
    <w:p w14:paraId="2B8DAA7C" w14:textId="77777777" w:rsidR="00AC718C" w:rsidRDefault="00AC718C" w:rsidP="00AC718C">
      <w:pPr>
        <w:jc w:val="both"/>
        <w:rPr>
          <w:rFonts w:cs="Arial"/>
          <w:bCs/>
          <w:szCs w:val="24"/>
        </w:rPr>
        <w:sectPr w:rsidR="00AC718C" w:rsidSect="001614E0">
          <w:footerReference w:type="default" r:id="rId28"/>
          <w:pgSz w:w="11909" w:h="16834" w:code="9"/>
          <w:pgMar w:top="720" w:right="1800" w:bottom="1440" w:left="1800" w:header="720" w:footer="432" w:gutter="0"/>
          <w:cols w:space="720"/>
          <w:titlePg/>
          <w:docGrid w:linePitch="360"/>
        </w:sectPr>
      </w:pPr>
    </w:p>
    <w:p w14:paraId="18C03178" w14:textId="71CE203C" w:rsidR="00013A0A" w:rsidRPr="0075606D" w:rsidRDefault="00013A0A" w:rsidP="00013A0A">
      <w:pPr>
        <w:jc w:val="right"/>
        <w:rPr>
          <w:b/>
          <w:sz w:val="32"/>
          <w:szCs w:val="32"/>
        </w:rPr>
      </w:pPr>
      <w:r w:rsidRPr="0075606D">
        <w:rPr>
          <w:b/>
          <w:sz w:val="32"/>
          <w:szCs w:val="32"/>
        </w:rPr>
        <w:lastRenderedPageBreak/>
        <w:t>APPENDIX D</w:t>
      </w:r>
    </w:p>
    <w:p w14:paraId="74A23180" w14:textId="77777777" w:rsidR="0018443E" w:rsidRPr="00692EA6" w:rsidRDefault="00AC718C" w:rsidP="0018443E">
      <w:pPr>
        <w:pStyle w:val="subhead"/>
        <w:numPr>
          <w:ilvl w:val="0"/>
          <w:numId w:val="0"/>
        </w:numPr>
        <w:jc w:val="left"/>
        <w:rPr>
          <w:sz w:val="24"/>
          <w:szCs w:val="24"/>
        </w:rPr>
      </w:pPr>
      <w:bookmarkStart w:id="18" w:name="_Toc338669423"/>
      <w:r w:rsidRPr="00692EA6">
        <w:rPr>
          <w:sz w:val="24"/>
          <w:szCs w:val="24"/>
        </w:rPr>
        <w:t>APPENDIX D: Link Asset Services: Interest Rate Forecasts 2020 – 20</w:t>
      </w:r>
      <w:bookmarkEnd w:id="18"/>
      <w:r w:rsidRPr="00692EA6">
        <w:rPr>
          <w:sz w:val="24"/>
          <w:szCs w:val="24"/>
        </w:rPr>
        <w:t xml:space="preserve">24. </w:t>
      </w:r>
    </w:p>
    <w:p w14:paraId="7ACA0BD3" w14:textId="71984BA7" w:rsidR="00AC718C" w:rsidRDefault="00692EA6" w:rsidP="0018443E">
      <w:pPr>
        <w:pStyle w:val="subhead"/>
        <w:numPr>
          <w:ilvl w:val="0"/>
          <w:numId w:val="0"/>
        </w:numPr>
        <w:jc w:val="left"/>
        <w:rPr>
          <w:lang w:eastAsia="en-GB"/>
        </w:rPr>
      </w:pPr>
      <w:r>
        <w:rPr>
          <w:lang w:eastAsia="en-GB"/>
        </w:rPr>
        <w:drawing>
          <wp:inline distT="0" distB="0" distL="0" distR="0" wp14:anchorId="73731138" wp14:editId="4AE30118">
            <wp:extent cx="5684277" cy="16097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4">
                      <a:extLst>
                        <a:ext uri="{28A0092B-C50C-407E-A947-70E740481C1C}">
                          <a14:useLocalDpi xmlns:a14="http://schemas.microsoft.com/office/drawing/2010/main" val="0"/>
                        </a:ext>
                      </a:extLst>
                    </a:blip>
                    <a:srcRect t="18229"/>
                    <a:stretch/>
                  </pic:blipFill>
                  <pic:spPr bwMode="auto">
                    <a:xfrm>
                      <a:off x="0" y="0"/>
                      <a:ext cx="5707426" cy="1616280"/>
                    </a:xfrm>
                    <a:prstGeom prst="rect">
                      <a:avLst/>
                    </a:prstGeom>
                    <a:noFill/>
                    <a:ln>
                      <a:noFill/>
                    </a:ln>
                    <a:extLst>
                      <a:ext uri="{53640926-AAD7-44D8-BBD7-CCE9431645EC}">
                        <a14:shadowObscured xmlns:a14="http://schemas.microsoft.com/office/drawing/2010/main"/>
                      </a:ext>
                    </a:extLst>
                  </pic:spPr>
                </pic:pic>
              </a:graphicData>
            </a:graphic>
          </wp:inline>
        </w:drawing>
      </w:r>
    </w:p>
    <w:p w14:paraId="0F336896" w14:textId="33841466" w:rsidR="00692EA6" w:rsidRPr="00692EA6" w:rsidRDefault="00692EA6" w:rsidP="00692EA6">
      <w:pPr>
        <w:jc w:val="both"/>
        <w:rPr>
          <w:rFonts w:eastAsia="Calibri" w:cs="Arial"/>
          <w:b/>
          <w:color w:val="0D0D0D"/>
          <w:szCs w:val="24"/>
        </w:rPr>
      </w:pPr>
      <w:r w:rsidRPr="00692EA6">
        <w:rPr>
          <w:rFonts w:eastAsia="Calibri" w:cs="Arial"/>
          <w:b/>
          <w:color w:val="0D0D0D"/>
          <w:szCs w:val="24"/>
        </w:rPr>
        <w:t>I</w:t>
      </w:r>
      <w:r>
        <w:rPr>
          <w:rFonts w:eastAsia="Calibri" w:cs="Arial"/>
          <w:b/>
          <w:color w:val="0D0D0D"/>
          <w:szCs w:val="24"/>
        </w:rPr>
        <w:t>nterest Rate Forecasts</w:t>
      </w:r>
    </w:p>
    <w:p w14:paraId="42400E9F" w14:textId="77777777" w:rsidR="00692EA6" w:rsidRPr="00692EA6" w:rsidRDefault="00692EA6" w:rsidP="00692EA6">
      <w:pPr>
        <w:jc w:val="both"/>
        <w:rPr>
          <w:rFonts w:eastAsia="Calibri" w:cs="Arial"/>
          <w:b/>
          <w:color w:val="0D0D0D"/>
          <w:szCs w:val="24"/>
        </w:rPr>
      </w:pPr>
    </w:p>
    <w:p w14:paraId="2E7DB238" w14:textId="7140E457" w:rsidR="00692EA6" w:rsidRPr="00692EA6" w:rsidRDefault="00692EA6" w:rsidP="00692EA6">
      <w:pPr>
        <w:jc w:val="both"/>
        <w:rPr>
          <w:rFonts w:eastAsia="Calibri" w:cs="Arial"/>
          <w:bCs/>
          <w:color w:val="0D0D0D"/>
          <w:szCs w:val="24"/>
        </w:rPr>
      </w:pPr>
      <w:r w:rsidRPr="00692EA6">
        <w:rPr>
          <w:rFonts w:eastAsia="Calibri" w:cs="Arial"/>
          <w:b/>
          <w:color w:val="0D0D0D"/>
          <w:szCs w:val="24"/>
        </w:rPr>
        <w:t>Brexit.</w:t>
      </w:r>
      <w:r w:rsidRPr="00692EA6">
        <w:rPr>
          <w:rFonts w:eastAsia="Calibri" w:cs="Arial"/>
          <w:color w:val="0D0D0D"/>
          <w:szCs w:val="24"/>
        </w:rPr>
        <w:t xml:space="preserve"> The interest rate forecasts provided by Link </w:t>
      </w:r>
      <w:r>
        <w:rPr>
          <w:rFonts w:eastAsia="Calibri" w:cs="Arial"/>
          <w:color w:val="0D0D0D"/>
          <w:szCs w:val="24"/>
        </w:rPr>
        <w:t>above</w:t>
      </w:r>
      <w:r w:rsidRPr="00692EA6">
        <w:rPr>
          <w:rFonts w:eastAsia="Calibri" w:cs="Arial"/>
          <w:color w:val="0D0D0D"/>
          <w:szCs w:val="24"/>
        </w:rPr>
        <w:t xml:space="preserve"> were predicated on an assumption of a reasonable agreement being reached on trade negotiations between the UK and the EU by 31.12.20. There is therefore no need to revise these forecasts now that a trade deal has been agreed. Brexit may reduce the economy’s potential growth rate in the long run. However, much </w:t>
      </w:r>
      <w:r w:rsidRPr="00692EA6">
        <w:rPr>
          <w:rFonts w:eastAsia="Calibri" w:cs="Arial"/>
          <w:bCs/>
          <w:color w:val="0D0D0D"/>
          <w:szCs w:val="24"/>
        </w:rPr>
        <w:t>of that drag is now likely to be offset by an</w:t>
      </w:r>
      <w:r w:rsidRPr="00692EA6">
        <w:rPr>
          <w:rFonts w:eastAsia="Calibri" w:cs="Arial"/>
          <w:color w:val="0D0D0D"/>
          <w:szCs w:val="24"/>
        </w:rPr>
        <w:t xml:space="preserve"> acceleration of </w:t>
      </w:r>
      <w:r w:rsidRPr="00692EA6">
        <w:rPr>
          <w:rFonts w:eastAsia="Calibri" w:cs="Arial"/>
          <w:bCs/>
          <w:color w:val="0D0D0D"/>
          <w:szCs w:val="24"/>
        </w:rPr>
        <w:t xml:space="preserve">productivity growth triggered by the digital revolution brought about by the COVID crisis. </w:t>
      </w:r>
    </w:p>
    <w:p w14:paraId="272ADA9F" w14:textId="77777777" w:rsidR="00692EA6" w:rsidRPr="00692EA6" w:rsidRDefault="00692EA6" w:rsidP="00692EA6">
      <w:pPr>
        <w:jc w:val="both"/>
        <w:rPr>
          <w:rFonts w:eastAsia="Calibri" w:cs="Arial"/>
          <w:bCs/>
          <w:color w:val="0D0D0D"/>
          <w:szCs w:val="24"/>
        </w:rPr>
      </w:pPr>
    </w:p>
    <w:p w14:paraId="3211DC28" w14:textId="77777777" w:rsidR="00692EA6" w:rsidRPr="00692EA6" w:rsidRDefault="00692EA6" w:rsidP="00692EA6">
      <w:pPr>
        <w:jc w:val="both"/>
        <w:rPr>
          <w:rFonts w:eastAsia="Calibri" w:cs="Arial"/>
          <w:b/>
          <w:color w:val="0D0D0D"/>
          <w:szCs w:val="24"/>
        </w:rPr>
      </w:pPr>
      <w:r w:rsidRPr="00692EA6">
        <w:rPr>
          <w:rFonts w:eastAsia="Calibri" w:cs="Arial"/>
          <w:b/>
          <w:color w:val="0D0D0D"/>
          <w:szCs w:val="24"/>
        </w:rPr>
        <w:t>The balance of risks to the UK</w:t>
      </w:r>
    </w:p>
    <w:p w14:paraId="7237AE90" w14:textId="77777777" w:rsidR="00692EA6" w:rsidRPr="00692EA6" w:rsidRDefault="00692EA6" w:rsidP="009E715C">
      <w:pPr>
        <w:numPr>
          <w:ilvl w:val="0"/>
          <w:numId w:val="37"/>
        </w:numPr>
        <w:jc w:val="both"/>
        <w:rPr>
          <w:rFonts w:eastAsia="Calibri" w:cs="Arial"/>
          <w:color w:val="0D0D0D"/>
          <w:szCs w:val="24"/>
          <w:lang w:val="en-AU"/>
        </w:rPr>
      </w:pPr>
      <w:r w:rsidRPr="00692EA6">
        <w:rPr>
          <w:rFonts w:eastAsia="Calibri" w:cs="Arial"/>
          <w:color w:val="0D0D0D"/>
          <w:szCs w:val="24"/>
          <w:lang w:val="en-AU"/>
        </w:rPr>
        <w:t>The overall balance of risks to economic growth in the UK is probably now skewed to the upside, but is still subject to some uncertainty due to the virus and the effect of any mutations, and how quick vaccines are in enabling a relaxation of restrictions.</w:t>
      </w:r>
    </w:p>
    <w:p w14:paraId="5D30C7D1" w14:textId="77777777" w:rsidR="00692EA6" w:rsidRPr="00692EA6" w:rsidRDefault="00692EA6" w:rsidP="009E715C">
      <w:pPr>
        <w:numPr>
          <w:ilvl w:val="0"/>
          <w:numId w:val="37"/>
        </w:numPr>
        <w:jc w:val="both"/>
        <w:rPr>
          <w:rFonts w:eastAsia="Calibri" w:cs="Arial"/>
          <w:color w:val="0D0D0D"/>
          <w:szCs w:val="24"/>
          <w:lang w:val="en-AU"/>
        </w:rPr>
      </w:pPr>
      <w:r w:rsidRPr="00692EA6">
        <w:rPr>
          <w:rFonts w:eastAsia="Calibri" w:cs="Arial"/>
          <w:color w:val="0D0D0D"/>
          <w:szCs w:val="24"/>
          <w:lang w:val="en-AU"/>
        </w:rPr>
        <w:t>There is relatively little UK domestic risk of increases or decreases in Bank Rate and significant changes in shorter term PWLB rates. The Bank of England has effectively ruled out the use of negative interest rates in the near term and increases in Bank Rate are likely to be some years away given the underlying economic expectations. However, it is always possible that safe haven flows, due to unexpected domestic developments and those in other major economies, could impact gilt yields, (and so PWLB rates), in the UK.</w:t>
      </w:r>
    </w:p>
    <w:p w14:paraId="336E805B" w14:textId="77777777" w:rsidR="00692EA6" w:rsidRPr="00692EA6" w:rsidRDefault="00692EA6" w:rsidP="00692EA6">
      <w:pPr>
        <w:jc w:val="both"/>
        <w:rPr>
          <w:rFonts w:eastAsia="Calibri" w:cs="Arial"/>
          <w:b/>
          <w:color w:val="0D0D0D"/>
          <w:szCs w:val="24"/>
          <w:lang w:val="en-AU"/>
        </w:rPr>
      </w:pPr>
    </w:p>
    <w:p w14:paraId="313EFE53" w14:textId="77777777" w:rsidR="00692EA6" w:rsidRPr="00692EA6" w:rsidRDefault="00692EA6" w:rsidP="00692EA6">
      <w:pPr>
        <w:jc w:val="both"/>
        <w:rPr>
          <w:rFonts w:eastAsia="Calibri" w:cs="Arial"/>
          <w:b/>
          <w:color w:val="0D0D0D"/>
          <w:szCs w:val="24"/>
          <w:lang w:val="en-AU"/>
        </w:rPr>
      </w:pPr>
      <w:r w:rsidRPr="00692EA6">
        <w:rPr>
          <w:rFonts w:eastAsia="Calibri" w:cs="Arial"/>
          <w:b/>
          <w:color w:val="0D0D0D"/>
          <w:szCs w:val="24"/>
          <w:lang w:val="en-AU"/>
        </w:rPr>
        <w:t xml:space="preserve">Downside risks to current forecasts for UK gilt yields and PWLB rates currently include: </w:t>
      </w:r>
    </w:p>
    <w:p w14:paraId="58AF72C5" w14:textId="77777777" w:rsidR="00692EA6" w:rsidRPr="00692EA6" w:rsidRDefault="00692EA6" w:rsidP="00692EA6">
      <w:pPr>
        <w:numPr>
          <w:ilvl w:val="0"/>
          <w:numId w:val="33"/>
        </w:numPr>
        <w:jc w:val="both"/>
        <w:rPr>
          <w:rFonts w:eastAsia="Calibri" w:cs="Arial"/>
          <w:color w:val="0D0D0D"/>
          <w:szCs w:val="24"/>
          <w:lang w:val="en-AU"/>
        </w:rPr>
      </w:pPr>
      <w:r w:rsidRPr="00692EA6">
        <w:rPr>
          <w:rFonts w:eastAsia="Calibri" w:cs="Arial"/>
          <w:b/>
          <w:color w:val="0D0D0D"/>
          <w:szCs w:val="24"/>
          <w:lang w:val="en-AU"/>
        </w:rPr>
        <w:t xml:space="preserve">UK government </w:t>
      </w:r>
      <w:r w:rsidRPr="00692EA6">
        <w:rPr>
          <w:rFonts w:eastAsia="Calibri" w:cs="Arial"/>
          <w:color w:val="0D0D0D"/>
          <w:szCs w:val="24"/>
          <w:lang w:val="en-AU"/>
        </w:rPr>
        <w:t>takes too much action too quickly to raise taxation or introduce austerity measures that depress demand and the pace of recovery of the economy.</w:t>
      </w:r>
    </w:p>
    <w:p w14:paraId="5DD2C762" w14:textId="77777777" w:rsidR="00692EA6" w:rsidRPr="00692EA6" w:rsidRDefault="00692EA6" w:rsidP="00692EA6">
      <w:pPr>
        <w:numPr>
          <w:ilvl w:val="0"/>
          <w:numId w:val="33"/>
        </w:numPr>
        <w:jc w:val="both"/>
        <w:rPr>
          <w:rFonts w:eastAsia="Calibri" w:cs="Arial"/>
          <w:color w:val="0D0D0D"/>
          <w:szCs w:val="24"/>
          <w:lang w:val="en-AU"/>
        </w:rPr>
      </w:pPr>
      <w:r w:rsidRPr="00692EA6">
        <w:rPr>
          <w:rFonts w:eastAsia="Calibri" w:cs="Arial"/>
          <w:b/>
          <w:color w:val="0D0D0D"/>
          <w:szCs w:val="24"/>
          <w:lang w:val="en-AU"/>
        </w:rPr>
        <w:t xml:space="preserve">UK - Bank of England </w:t>
      </w:r>
      <w:r w:rsidRPr="00692EA6">
        <w:rPr>
          <w:rFonts w:eastAsia="Calibri" w:cs="Arial"/>
          <w:color w:val="0D0D0D"/>
          <w:szCs w:val="24"/>
          <w:lang w:val="en-AU"/>
        </w:rPr>
        <w:t xml:space="preserve">takes action too quickly, or too far, over the next three years to raise Bank Rate and causes UK economic growth, and increases in inflation, to be weaker than we currently anticipate. </w:t>
      </w:r>
    </w:p>
    <w:p w14:paraId="7A37CFF1" w14:textId="77777777" w:rsidR="00692EA6" w:rsidRPr="00692EA6" w:rsidRDefault="00692EA6" w:rsidP="00692EA6">
      <w:pPr>
        <w:numPr>
          <w:ilvl w:val="0"/>
          <w:numId w:val="33"/>
        </w:numPr>
        <w:jc w:val="both"/>
        <w:rPr>
          <w:rFonts w:eastAsia="Calibri" w:cs="Arial"/>
          <w:color w:val="0D0D0D"/>
          <w:szCs w:val="24"/>
          <w:lang w:val="en-AU"/>
        </w:rPr>
      </w:pPr>
      <w:r w:rsidRPr="00692EA6">
        <w:rPr>
          <w:rFonts w:eastAsia="Calibri" w:cs="Arial"/>
          <w:color w:val="0D0D0D"/>
          <w:szCs w:val="24"/>
          <w:lang w:val="en-AU"/>
        </w:rPr>
        <w:t xml:space="preserve">A resurgence of the </w:t>
      </w:r>
      <w:r w:rsidRPr="00692EA6">
        <w:rPr>
          <w:rFonts w:eastAsia="Calibri" w:cs="Arial"/>
          <w:b/>
          <w:color w:val="0D0D0D"/>
          <w:szCs w:val="24"/>
          <w:lang w:val="en-AU"/>
        </w:rPr>
        <w:t>Eurozone sovereign debt crisis.</w:t>
      </w:r>
      <w:r w:rsidRPr="00692EA6">
        <w:rPr>
          <w:rFonts w:eastAsia="Calibri" w:cs="Arial"/>
          <w:color w:val="0D0D0D"/>
          <w:szCs w:val="24"/>
          <w:lang w:val="en-AU"/>
        </w:rPr>
        <w:t xml:space="preserve"> The ECB has taken monetary policy action to support the bonds of EU states, with the positive impact most likely for “weaker” countries. In addition, the EU agreed a €750bn fiscal support package.  These actions will help shield weaker economic regions for the next two or three years. However, in the case of Italy, the cost of the virus crisis has added to its already huge </w:t>
      </w:r>
      <w:r w:rsidRPr="00692EA6">
        <w:rPr>
          <w:rFonts w:eastAsia="Calibri" w:cs="Arial"/>
          <w:color w:val="0D0D0D"/>
          <w:szCs w:val="24"/>
          <w:lang w:val="en-AU"/>
        </w:rPr>
        <w:lastRenderedPageBreak/>
        <w:t xml:space="preserve">debt mountain and its slow economic growth will leave it vulnerable to markets returning to taking the view that its level of debt is unsupportable.  There remains a sharp divide between northern EU countries favouring low debt to GDP and annual balanced budgets and southern countries who want to see jointly issued Eurobonds to finance economic recovery. This divide could undermine the unity of the EU in time to come.  </w:t>
      </w:r>
    </w:p>
    <w:p w14:paraId="4A314C7B" w14:textId="77777777" w:rsidR="00692EA6" w:rsidRPr="00692EA6" w:rsidRDefault="00692EA6" w:rsidP="00692EA6">
      <w:pPr>
        <w:numPr>
          <w:ilvl w:val="0"/>
          <w:numId w:val="33"/>
        </w:numPr>
        <w:jc w:val="both"/>
        <w:rPr>
          <w:rFonts w:eastAsia="Calibri" w:cs="Arial"/>
          <w:color w:val="0D0D0D"/>
          <w:szCs w:val="24"/>
          <w:lang w:val="en-AU"/>
        </w:rPr>
      </w:pPr>
      <w:r w:rsidRPr="00692EA6">
        <w:rPr>
          <w:rFonts w:eastAsia="Calibri" w:cs="Arial"/>
          <w:color w:val="0D0D0D"/>
          <w:szCs w:val="24"/>
          <w:lang w:val="en-AU"/>
        </w:rPr>
        <w:t xml:space="preserve">Weak capitalisation of some </w:t>
      </w:r>
      <w:r w:rsidRPr="00692EA6">
        <w:rPr>
          <w:rFonts w:eastAsia="Calibri" w:cs="Arial"/>
          <w:b/>
          <w:color w:val="0D0D0D"/>
          <w:szCs w:val="24"/>
          <w:lang w:val="en-AU"/>
        </w:rPr>
        <w:t>European banks</w:t>
      </w:r>
      <w:r w:rsidRPr="00692EA6">
        <w:rPr>
          <w:rFonts w:eastAsia="Calibri" w:cs="Arial"/>
          <w:color w:val="0D0D0D"/>
          <w:szCs w:val="24"/>
          <w:lang w:val="en-AU"/>
        </w:rPr>
        <w:t>, which could be undermined further depending on extent of credit losses resultant of the pandemic.</w:t>
      </w:r>
    </w:p>
    <w:p w14:paraId="604FF54E" w14:textId="77777777" w:rsidR="00692EA6" w:rsidRPr="00692EA6" w:rsidRDefault="00692EA6" w:rsidP="00692EA6">
      <w:pPr>
        <w:numPr>
          <w:ilvl w:val="0"/>
          <w:numId w:val="33"/>
        </w:numPr>
        <w:jc w:val="both"/>
        <w:rPr>
          <w:rFonts w:eastAsia="Calibri" w:cs="Arial"/>
          <w:color w:val="0D0D0D"/>
          <w:szCs w:val="24"/>
          <w:lang w:val="en-AU"/>
        </w:rPr>
      </w:pPr>
      <w:r w:rsidRPr="00692EA6">
        <w:rPr>
          <w:rFonts w:eastAsia="Calibri" w:cs="Arial"/>
          <w:b/>
          <w:color w:val="0D0D0D"/>
          <w:szCs w:val="24"/>
          <w:lang w:val="en-AU"/>
        </w:rPr>
        <w:t>German minority government &amp; general election in 2021.</w:t>
      </w:r>
      <w:r w:rsidRPr="00692EA6">
        <w:rPr>
          <w:rFonts w:eastAsia="Calibri" w:cs="Arial"/>
          <w:color w:val="0D0D0D"/>
          <w:szCs w:val="24"/>
          <w:lang w:val="en-AU"/>
        </w:rPr>
        <w:t xml:space="preserve"> In the German general election of September 2017, Angela Merkel’s CDU party was left in a vulnerable minority position dependent on the fractious support of the SPD party, as a result of the rise in popularity of the anti-immigration AfD party. Angela Merkel has stepped down from being the CDU party leader but she will remain as Chancellor until the general election in 2021. This then leaves a major question mark over who will be the major guiding hand and driver of EU unity when she steps down.  </w:t>
      </w:r>
    </w:p>
    <w:p w14:paraId="76829D61" w14:textId="77777777" w:rsidR="00692EA6" w:rsidRPr="00692EA6" w:rsidRDefault="00692EA6" w:rsidP="00692EA6">
      <w:pPr>
        <w:numPr>
          <w:ilvl w:val="0"/>
          <w:numId w:val="33"/>
        </w:numPr>
        <w:jc w:val="both"/>
        <w:rPr>
          <w:rFonts w:eastAsia="Calibri" w:cs="Arial"/>
          <w:color w:val="0D0D0D"/>
          <w:szCs w:val="24"/>
          <w:lang w:val="en-AU"/>
        </w:rPr>
      </w:pPr>
      <w:r w:rsidRPr="00692EA6">
        <w:rPr>
          <w:rFonts w:eastAsia="Calibri" w:cs="Arial"/>
          <w:b/>
          <w:color w:val="0D0D0D"/>
          <w:szCs w:val="24"/>
          <w:lang w:val="en-AU"/>
        </w:rPr>
        <w:t>Other minority EU governments.</w:t>
      </w:r>
      <w:r w:rsidRPr="00692EA6">
        <w:rPr>
          <w:rFonts w:eastAsia="Calibri" w:cs="Arial"/>
          <w:color w:val="0D0D0D"/>
          <w:szCs w:val="24"/>
          <w:lang w:val="en-AU"/>
        </w:rPr>
        <w:t xml:space="preserve"> Italy, Spain, Austria, Sweden, Portugal, Netherlands, Ireland and Belgium also have vulnerable minority governments dependent on coalitions which could prove fragile. </w:t>
      </w:r>
    </w:p>
    <w:p w14:paraId="0BDC8F99" w14:textId="77777777" w:rsidR="00692EA6" w:rsidRPr="00692EA6" w:rsidRDefault="00692EA6" w:rsidP="00692EA6">
      <w:pPr>
        <w:numPr>
          <w:ilvl w:val="0"/>
          <w:numId w:val="33"/>
        </w:numPr>
        <w:jc w:val="both"/>
        <w:rPr>
          <w:rFonts w:eastAsia="Calibri" w:cs="Arial"/>
          <w:color w:val="0D0D0D"/>
          <w:szCs w:val="24"/>
          <w:lang w:val="en-AU"/>
        </w:rPr>
      </w:pPr>
      <w:r w:rsidRPr="00692EA6">
        <w:rPr>
          <w:rFonts w:eastAsia="Calibri" w:cs="Arial"/>
          <w:b/>
          <w:color w:val="0D0D0D"/>
          <w:szCs w:val="24"/>
          <w:lang w:val="en-AU"/>
        </w:rPr>
        <w:t>Austria, the Czech Republic, Poland and Hungary</w:t>
      </w:r>
      <w:r w:rsidRPr="00692EA6">
        <w:rPr>
          <w:rFonts w:eastAsia="Calibri" w:cs="Arial"/>
          <w:color w:val="0D0D0D"/>
          <w:szCs w:val="24"/>
          <w:lang w:val="en-AU"/>
        </w:rPr>
        <w:t xml:space="preserve"> now form a strongly anti-immigration bloc within the EU, and they had threatened to derail the 7 year EU budget until a compromise was thrashed out in late 2020. There has also been a rise in anti-immigration sentiment in Germany and France.</w:t>
      </w:r>
    </w:p>
    <w:p w14:paraId="277D8FB7" w14:textId="77777777" w:rsidR="00692EA6" w:rsidRPr="00692EA6" w:rsidRDefault="00692EA6" w:rsidP="00692EA6">
      <w:pPr>
        <w:numPr>
          <w:ilvl w:val="0"/>
          <w:numId w:val="33"/>
        </w:numPr>
        <w:jc w:val="both"/>
        <w:rPr>
          <w:rFonts w:eastAsia="Calibri" w:cs="Arial"/>
          <w:color w:val="0D0D0D"/>
          <w:szCs w:val="24"/>
          <w:lang w:val="en-AU"/>
        </w:rPr>
      </w:pPr>
      <w:r w:rsidRPr="00692EA6">
        <w:rPr>
          <w:rFonts w:eastAsia="Calibri" w:cs="Arial"/>
          <w:b/>
          <w:color w:val="0D0D0D"/>
          <w:szCs w:val="24"/>
          <w:lang w:val="en-AU"/>
        </w:rPr>
        <w:t>Geopolitical risks,</w:t>
      </w:r>
      <w:r w:rsidRPr="00692EA6">
        <w:rPr>
          <w:rFonts w:eastAsia="Calibri" w:cs="Arial"/>
          <w:color w:val="0D0D0D"/>
          <w:szCs w:val="24"/>
          <w:lang w:val="en-AU"/>
        </w:rPr>
        <w:t xml:space="preserve"> for example in China, Iran or North Korea, but also in Europe and other Middle Eastern countries, which could lead to increasing safe haven flows. </w:t>
      </w:r>
    </w:p>
    <w:p w14:paraId="16FF1CA0" w14:textId="77777777" w:rsidR="00692EA6" w:rsidRPr="00692EA6" w:rsidRDefault="00692EA6" w:rsidP="00692EA6">
      <w:pPr>
        <w:jc w:val="both"/>
        <w:rPr>
          <w:rFonts w:eastAsia="Calibri" w:cs="Arial"/>
          <w:color w:val="0D0D0D"/>
          <w:szCs w:val="24"/>
          <w:lang w:val="en-AU"/>
        </w:rPr>
      </w:pPr>
    </w:p>
    <w:p w14:paraId="53F9E1FE" w14:textId="77777777" w:rsidR="00692EA6" w:rsidRPr="00692EA6" w:rsidRDefault="00692EA6" w:rsidP="00692EA6">
      <w:pPr>
        <w:jc w:val="both"/>
        <w:rPr>
          <w:rFonts w:eastAsia="Calibri" w:cs="Arial"/>
          <w:b/>
          <w:color w:val="0D0D0D"/>
          <w:szCs w:val="24"/>
          <w:lang w:val="en-AU"/>
        </w:rPr>
      </w:pPr>
      <w:r w:rsidRPr="00692EA6">
        <w:rPr>
          <w:rFonts w:eastAsia="Calibri" w:cs="Arial"/>
          <w:b/>
          <w:color w:val="0D0D0D"/>
          <w:szCs w:val="24"/>
          <w:lang w:val="en-AU"/>
        </w:rPr>
        <w:t>Upside risks to current forecasts for UK gilt yields and PWLB rates</w:t>
      </w:r>
    </w:p>
    <w:p w14:paraId="345FAC22" w14:textId="77777777" w:rsidR="00692EA6" w:rsidRPr="00692EA6" w:rsidRDefault="00692EA6" w:rsidP="00692EA6">
      <w:pPr>
        <w:numPr>
          <w:ilvl w:val="0"/>
          <w:numId w:val="35"/>
        </w:numPr>
        <w:ind w:left="720"/>
        <w:jc w:val="both"/>
        <w:rPr>
          <w:rFonts w:eastAsia="Calibri" w:cs="Arial"/>
          <w:color w:val="0D0D0D"/>
          <w:szCs w:val="24"/>
          <w:lang w:val="en-AU"/>
        </w:rPr>
      </w:pPr>
      <w:r w:rsidRPr="00692EA6">
        <w:rPr>
          <w:rFonts w:eastAsia="Calibri" w:cs="Arial"/>
          <w:b/>
          <w:color w:val="0D0D0D"/>
          <w:szCs w:val="24"/>
          <w:lang w:val="en-AU"/>
        </w:rPr>
        <w:t xml:space="preserve">UK - </w:t>
      </w:r>
      <w:r w:rsidRPr="00692EA6">
        <w:rPr>
          <w:rFonts w:eastAsia="Calibri" w:cs="Arial"/>
          <w:color w:val="0D0D0D"/>
          <w:szCs w:val="24"/>
          <w:lang w:val="en-AU"/>
        </w:rPr>
        <w:t>a significant rise in inflationary pressures e.g.  caused by a stronger than currently expected recovery in the UK economy after effective vaccines are administered quickly to the UK population, leading to a rapid resumption of normal life and return to full economic activity across all sectors of the economy.</w:t>
      </w:r>
    </w:p>
    <w:p w14:paraId="555B6C8B" w14:textId="77777777" w:rsidR="00692EA6" w:rsidRPr="00692EA6" w:rsidRDefault="00692EA6" w:rsidP="00692EA6">
      <w:pPr>
        <w:numPr>
          <w:ilvl w:val="0"/>
          <w:numId w:val="34"/>
        </w:numPr>
        <w:ind w:left="720"/>
        <w:jc w:val="both"/>
        <w:rPr>
          <w:rFonts w:eastAsia="Calibri" w:cs="Arial"/>
          <w:color w:val="0D0D0D"/>
          <w:szCs w:val="24"/>
        </w:rPr>
      </w:pPr>
      <w:r w:rsidRPr="00692EA6">
        <w:rPr>
          <w:rFonts w:eastAsia="Calibri" w:cs="Arial"/>
          <w:color w:val="0D0D0D"/>
          <w:szCs w:val="24"/>
          <w:lang w:val="en-AU"/>
        </w:rPr>
        <w:t xml:space="preserve">The </w:t>
      </w:r>
      <w:r w:rsidRPr="00692EA6">
        <w:rPr>
          <w:rFonts w:eastAsia="Calibri" w:cs="Arial"/>
          <w:b/>
          <w:color w:val="0D0D0D"/>
          <w:szCs w:val="24"/>
          <w:lang w:val="en-AU"/>
        </w:rPr>
        <w:t>Bank of England is too slow</w:t>
      </w:r>
      <w:r w:rsidRPr="00692EA6">
        <w:rPr>
          <w:rFonts w:eastAsia="Calibri" w:cs="Arial"/>
          <w:color w:val="0D0D0D"/>
          <w:szCs w:val="24"/>
          <w:lang w:val="en-AU"/>
        </w:rPr>
        <w:t xml:space="preserve"> in its pace and strength of increases in Bank Rate and, therefore, allows inflationary pressures to build up too strongly within the UK economy, which then necessitates a rapid series of increases in Bank Rate to stifle inflation. </w:t>
      </w:r>
    </w:p>
    <w:p w14:paraId="6A0A892A" w14:textId="77777777" w:rsidR="00692EA6" w:rsidRDefault="00692EA6" w:rsidP="0018443E">
      <w:pPr>
        <w:pStyle w:val="subhead"/>
        <w:numPr>
          <w:ilvl w:val="0"/>
          <w:numId w:val="0"/>
        </w:numPr>
        <w:rPr>
          <w:noProof w:val="0"/>
          <w:lang w:eastAsia="en-GB"/>
        </w:rPr>
      </w:pPr>
    </w:p>
    <w:p w14:paraId="0CB3674E" w14:textId="77777777" w:rsidR="00692EA6" w:rsidRDefault="00692EA6" w:rsidP="0018443E">
      <w:pPr>
        <w:pStyle w:val="subhead"/>
        <w:numPr>
          <w:ilvl w:val="0"/>
          <w:numId w:val="0"/>
        </w:numPr>
        <w:rPr>
          <w:noProof w:val="0"/>
          <w:lang w:eastAsia="en-GB"/>
        </w:rPr>
      </w:pPr>
    </w:p>
    <w:p w14:paraId="56059A38" w14:textId="77777777" w:rsidR="00692EA6" w:rsidRDefault="00692EA6" w:rsidP="0018443E">
      <w:pPr>
        <w:pStyle w:val="subhead"/>
        <w:numPr>
          <w:ilvl w:val="0"/>
          <w:numId w:val="0"/>
        </w:numPr>
        <w:rPr>
          <w:noProof w:val="0"/>
          <w:lang w:eastAsia="en-GB"/>
        </w:rPr>
      </w:pPr>
    </w:p>
    <w:p w14:paraId="2AE0DAB7" w14:textId="01ADCDEA" w:rsidR="00692EA6" w:rsidRDefault="00692EA6" w:rsidP="0018443E">
      <w:pPr>
        <w:pStyle w:val="subhead"/>
        <w:numPr>
          <w:ilvl w:val="0"/>
          <w:numId w:val="0"/>
        </w:numPr>
        <w:rPr>
          <w:noProof w:val="0"/>
          <w:lang w:eastAsia="en-GB"/>
        </w:rPr>
      </w:pPr>
    </w:p>
    <w:p w14:paraId="03C13578" w14:textId="0D138236" w:rsidR="00692EA6" w:rsidRDefault="00692EA6" w:rsidP="0018443E">
      <w:pPr>
        <w:pStyle w:val="subhead"/>
        <w:numPr>
          <w:ilvl w:val="0"/>
          <w:numId w:val="0"/>
        </w:numPr>
        <w:rPr>
          <w:noProof w:val="0"/>
          <w:lang w:eastAsia="en-GB"/>
        </w:rPr>
      </w:pPr>
    </w:p>
    <w:p w14:paraId="40770551" w14:textId="77777777" w:rsidR="00BF7865" w:rsidRDefault="00BF7865" w:rsidP="0018443E">
      <w:pPr>
        <w:pStyle w:val="subhead"/>
        <w:numPr>
          <w:ilvl w:val="0"/>
          <w:numId w:val="0"/>
        </w:numPr>
        <w:rPr>
          <w:noProof w:val="0"/>
          <w:lang w:eastAsia="en-GB"/>
        </w:rPr>
      </w:pPr>
    </w:p>
    <w:p w14:paraId="0FD93A25" w14:textId="20A0EB16" w:rsidR="00692EA6" w:rsidRPr="00014D60" w:rsidRDefault="00692EA6" w:rsidP="00692EA6">
      <w:pPr>
        <w:pStyle w:val="subhead"/>
        <w:numPr>
          <w:ilvl w:val="0"/>
          <w:numId w:val="0"/>
        </w:numPr>
        <w:ind w:left="5760"/>
        <w:jc w:val="right"/>
        <w:rPr>
          <w:bCs/>
          <w:noProof w:val="0"/>
          <w:sz w:val="24"/>
          <w:szCs w:val="24"/>
          <w:lang w:eastAsia="en-GB"/>
        </w:rPr>
      </w:pPr>
      <w:r w:rsidRPr="00014D60">
        <w:rPr>
          <w:bCs/>
          <w:sz w:val="32"/>
          <w:szCs w:val="32"/>
        </w:rPr>
        <w:lastRenderedPageBreak/>
        <w:t>APPENDIX E</w:t>
      </w:r>
    </w:p>
    <w:p w14:paraId="3F2C9A32" w14:textId="6FC8E909" w:rsidR="0018443E" w:rsidRPr="00692EA6" w:rsidRDefault="00E724E3" w:rsidP="0018443E">
      <w:pPr>
        <w:pStyle w:val="subhead"/>
        <w:numPr>
          <w:ilvl w:val="0"/>
          <w:numId w:val="0"/>
        </w:numPr>
        <w:rPr>
          <w:noProof w:val="0"/>
          <w:sz w:val="24"/>
          <w:szCs w:val="24"/>
          <w:lang w:eastAsia="en-GB"/>
        </w:rPr>
      </w:pPr>
      <w:r>
        <w:rPr>
          <w:noProof w:val="0"/>
          <w:sz w:val="24"/>
          <w:szCs w:val="24"/>
          <w:lang w:eastAsia="en-GB"/>
        </w:rPr>
        <w:t>Economic Background</w:t>
      </w:r>
    </w:p>
    <w:p w14:paraId="2D244F66" w14:textId="77777777" w:rsidR="0018443E" w:rsidRPr="00692EA6" w:rsidRDefault="0018443E" w:rsidP="009E715C">
      <w:pPr>
        <w:pStyle w:val="ListNumber"/>
        <w:numPr>
          <w:ilvl w:val="0"/>
          <w:numId w:val="55"/>
        </w:numPr>
        <w:ind w:left="360"/>
        <w:contextualSpacing w:val="0"/>
        <w:jc w:val="both"/>
        <w:rPr>
          <w:rFonts w:eastAsia="Arial" w:cs="Arial"/>
          <w:color w:val="0D0D0D"/>
          <w:spacing w:val="0"/>
          <w:sz w:val="24"/>
          <w:szCs w:val="24"/>
          <w:lang w:val="en-AU"/>
        </w:rPr>
      </w:pPr>
      <w:r w:rsidRPr="00692EA6">
        <w:rPr>
          <w:rFonts w:eastAsia="Arial" w:cs="Arial"/>
          <w:b/>
          <w:bCs/>
          <w:color w:val="0D0D0D" w:themeColor="text1" w:themeTint="F2"/>
          <w:spacing w:val="0"/>
          <w:sz w:val="24"/>
          <w:szCs w:val="24"/>
          <w:lang w:val="en-AU"/>
        </w:rPr>
        <w:t>UK.</w:t>
      </w:r>
      <w:r w:rsidRPr="00692EA6">
        <w:rPr>
          <w:rFonts w:eastAsia="Arial" w:cs="Arial"/>
          <w:bCs/>
          <w:color w:val="0D0D0D" w:themeColor="text1" w:themeTint="F2"/>
          <w:spacing w:val="0"/>
          <w:sz w:val="24"/>
          <w:szCs w:val="24"/>
          <w:lang w:val="en-AU"/>
        </w:rPr>
        <w:t xml:space="preserve"> </w:t>
      </w:r>
      <w:r w:rsidRPr="00692EA6">
        <w:rPr>
          <w:rFonts w:eastAsia="Arial" w:cs="Arial"/>
          <w:color w:val="0D0D0D"/>
          <w:spacing w:val="0"/>
          <w:sz w:val="24"/>
          <w:szCs w:val="24"/>
          <w:lang w:val="en-AU"/>
        </w:rPr>
        <w:t xml:space="preserve">The key quarterly meeting of the Bank of England Monetary Policy Committee kept </w:t>
      </w:r>
      <w:r w:rsidRPr="00692EA6">
        <w:rPr>
          <w:rFonts w:eastAsia="Arial" w:cs="Arial"/>
          <w:b/>
          <w:color w:val="0D0D0D"/>
          <w:spacing w:val="0"/>
          <w:sz w:val="24"/>
          <w:szCs w:val="24"/>
          <w:lang w:val="en-AU"/>
        </w:rPr>
        <w:t>Bank Rate</w:t>
      </w:r>
      <w:r w:rsidRPr="00692EA6">
        <w:rPr>
          <w:rFonts w:eastAsia="Arial" w:cs="Arial"/>
          <w:color w:val="0D0D0D"/>
          <w:spacing w:val="0"/>
          <w:sz w:val="24"/>
          <w:szCs w:val="24"/>
          <w:lang w:val="en-AU"/>
        </w:rPr>
        <w:t xml:space="preserve"> unchanged on 5.11.20. However, it revised its economic forecasts to take account of a second national lockdown from </w:t>
      </w:r>
      <w:r w:rsidRPr="00692EA6">
        <w:rPr>
          <w:rFonts w:eastAsia="Arial" w:cs="Arial"/>
          <w:bCs/>
          <w:color w:val="0D0D0D"/>
          <w:spacing w:val="0"/>
          <w:sz w:val="24"/>
          <w:szCs w:val="24"/>
        </w:rPr>
        <w:t xml:space="preserve">5.11.20 to 2.12.20 which is obviously going to put back economic recovery and do further damage to the economy.  It therefore decided to do a further tranche of </w:t>
      </w:r>
      <w:r w:rsidRPr="00692EA6">
        <w:rPr>
          <w:rFonts w:eastAsia="Arial" w:cs="Arial"/>
          <w:b/>
          <w:bCs/>
          <w:color w:val="0D0D0D"/>
          <w:spacing w:val="0"/>
          <w:sz w:val="24"/>
          <w:szCs w:val="24"/>
        </w:rPr>
        <w:t>quantitative easing (QE) of £150bn</w:t>
      </w:r>
      <w:r w:rsidRPr="00692EA6">
        <w:rPr>
          <w:rFonts w:eastAsia="Arial" w:cs="Arial"/>
          <w:bCs/>
          <w:color w:val="0D0D0D"/>
          <w:spacing w:val="0"/>
          <w:sz w:val="24"/>
          <w:szCs w:val="24"/>
        </w:rPr>
        <w:t xml:space="preserve">, to start in January when the current programme of £300bn of QE, announced in March to June, runs out.  It did this so that “announcing further asset purchases now should support the economy and help to ensure the unavoidable near-term slowdown in activity was not amplified by a tightening in </w:t>
      </w:r>
      <w:r w:rsidRPr="00692EA6">
        <w:rPr>
          <w:rFonts w:eastAsia="Arial" w:cs="Arial"/>
          <w:color w:val="0D0D0D"/>
          <w:spacing w:val="0"/>
          <w:sz w:val="24"/>
          <w:szCs w:val="24"/>
          <w:lang w:val="en-AU"/>
        </w:rPr>
        <w:t>monetary conditions that could slow the return of inflation to the target”.</w:t>
      </w:r>
    </w:p>
    <w:p w14:paraId="6506D0B9" w14:textId="77777777" w:rsidR="0018443E" w:rsidRPr="00692EA6" w:rsidRDefault="0018443E" w:rsidP="009E715C">
      <w:pPr>
        <w:numPr>
          <w:ilvl w:val="0"/>
          <w:numId w:val="55"/>
        </w:numPr>
        <w:spacing w:before="120" w:after="120"/>
        <w:ind w:left="360"/>
        <w:jc w:val="both"/>
        <w:rPr>
          <w:rFonts w:eastAsia="Arial" w:cs="Arial"/>
          <w:color w:val="0D0D0D"/>
          <w:szCs w:val="24"/>
          <w:lang w:val="en-AU"/>
        </w:rPr>
      </w:pPr>
      <w:r w:rsidRPr="00692EA6">
        <w:rPr>
          <w:rFonts w:eastAsia="Arial" w:cs="Arial"/>
          <w:color w:val="0D0D0D"/>
          <w:szCs w:val="24"/>
          <w:lang w:val="en-AU"/>
        </w:rPr>
        <w:t xml:space="preserve">Its forecasts appeared, at that time, to be rather optimistic in terms of three areas: </w:t>
      </w:r>
    </w:p>
    <w:p w14:paraId="51822CC9" w14:textId="77777777" w:rsidR="0018443E" w:rsidRPr="00692EA6" w:rsidRDefault="0018443E" w:rsidP="009E715C">
      <w:pPr>
        <w:numPr>
          <w:ilvl w:val="1"/>
          <w:numId w:val="54"/>
        </w:numPr>
        <w:spacing w:before="120" w:after="120"/>
        <w:ind w:left="1080"/>
        <w:jc w:val="both"/>
        <w:rPr>
          <w:rFonts w:eastAsia="Arial" w:cs="Arial"/>
          <w:color w:val="0D0D0D"/>
          <w:szCs w:val="24"/>
          <w:lang w:val="en-AU"/>
        </w:rPr>
      </w:pPr>
      <w:r w:rsidRPr="00692EA6">
        <w:rPr>
          <w:rFonts w:eastAsia="Calibri" w:cs="Arial"/>
          <w:bCs/>
          <w:color w:val="0D0D0D"/>
          <w:szCs w:val="24"/>
        </w:rPr>
        <w:t>The economy would recover to reach its pre-pandemic level in Q1 2022</w:t>
      </w:r>
    </w:p>
    <w:p w14:paraId="09FD0439" w14:textId="77777777" w:rsidR="0018443E" w:rsidRPr="00692EA6" w:rsidRDefault="0018443E" w:rsidP="009E715C">
      <w:pPr>
        <w:numPr>
          <w:ilvl w:val="1"/>
          <w:numId w:val="54"/>
        </w:numPr>
        <w:spacing w:before="120" w:after="120"/>
        <w:ind w:left="1080"/>
        <w:jc w:val="both"/>
        <w:rPr>
          <w:rFonts w:eastAsia="Arial" w:cs="Arial"/>
          <w:color w:val="0D0D0D"/>
          <w:szCs w:val="24"/>
          <w:lang w:val="en-AU"/>
        </w:rPr>
      </w:pPr>
      <w:r w:rsidRPr="00692EA6">
        <w:rPr>
          <w:rFonts w:eastAsia="Calibri" w:cs="Arial"/>
          <w:bCs/>
          <w:color w:val="0D0D0D"/>
          <w:szCs w:val="24"/>
        </w:rPr>
        <w:t>The Bank also expected there to be excess demand in the economy by Q4 2022.</w:t>
      </w:r>
    </w:p>
    <w:p w14:paraId="4A97B315" w14:textId="77777777" w:rsidR="0018443E" w:rsidRPr="00692EA6" w:rsidRDefault="0018443E" w:rsidP="009E715C">
      <w:pPr>
        <w:numPr>
          <w:ilvl w:val="1"/>
          <w:numId w:val="54"/>
        </w:numPr>
        <w:spacing w:before="120" w:after="120"/>
        <w:ind w:left="1080"/>
        <w:jc w:val="both"/>
        <w:rPr>
          <w:rFonts w:eastAsia="Arial" w:cs="Arial"/>
          <w:color w:val="0D0D0D"/>
          <w:szCs w:val="24"/>
          <w:lang w:val="en-AU"/>
        </w:rPr>
      </w:pPr>
      <w:r w:rsidRPr="00692EA6">
        <w:rPr>
          <w:rFonts w:eastAsia="Calibri" w:cs="Arial"/>
          <w:bCs/>
          <w:color w:val="0D0D0D"/>
          <w:szCs w:val="24"/>
        </w:rPr>
        <w:t>CPI inflation was therefore projected to be a bit above its 2% target by the start of 2023 and the “inflation risks were judged to be balanced”.</w:t>
      </w:r>
    </w:p>
    <w:p w14:paraId="38BE0532" w14:textId="77777777" w:rsidR="0018443E" w:rsidRPr="00692EA6" w:rsidRDefault="0018443E" w:rsidP="009E715C">
      <w:pPr>
        <w:numPr>
          <w:ilvl w:val="0"/>
          <w:numId w:val="54"/>
        </w:numPr>
        <w:spacing w:before="120" w:after="120"/>
        <w:ind w:left="360"/>
        <w:jc w:val="both"/>
        <w:rPr>
          <w:rFonts w:eastAsia="Arial" w:cs="Arial"/>
          <w:color w:val="0D0D0D"/>
          <w:szCs w:val="24"/>
          <w:lang w:val="en-AU"/>
        </w:rPr>
      </w:pPr>
      <w:r w:rsidRPr="00692EA6">
        <w:rPr>
          <w:rFonts w:eastAsia="Arial" w:cs="Arial"/>
          <w:color w:val="0D0D0D"/>
          <w:szCs w:val="24"/>
          <w:lang w:val="en-AU"/>
        </w:rPr>
        <w:t xml:space="preserve">Significantly, there was no mention of </w:t>
      </w:r>
      <w:r w:rsidRPr="00692EA6">
        <w:rPr>
          <w:rFonts w:eastAsia="Arial" w:cs="Arial"/>
          <w:b/>
          <w:color w:val="0D0D0D"/>
          <w:szCs w:val="24"/>
          <w:lang w:val="en-AU"/>
        </w:rPr>
        <w:t>negative interest rates</w:t>
      </w:r>
      <w:r w:rsidRPr="00692EA6">
        <w:rPr>
          <w:rFonts w:eastAsia="Arial" w:cs="Arial"/>
          <w:color w:val="0D0D0D"/>
          <w:szCs w:val="24"/>
          <w:lang w:val="en-AU"/>
        </w:rPr>
        <w:t xml:space="preserve"> in the minutes or Monetary Policy Report, suggesting that the MPC remains some way from being persuaded of the case for such a policy, at least for the next 6 -12 months. However, rather than saying that it “stands ready to adjust monetary policy”, the MPC this time said that it will take “whatever additional action was necessary to achieve its remit”. The latter seems stronger and wider and may indicate the Bank’s willingness to embrace new tools.</w:t>
      </w:r>
    </w:p>
    <w:p w14:paraId="6CDA1D76" w14:textId="77777777" w:rsidR="0018443E" w:rsidRPr="00692EA6" w:rsidRDefault="0018443E" w:rsidP="009E715C">
      <w:pPr>
        <w:numPr>
          <w:ilvl w:val="0"/>
          <w:numId w:val="54"/>
        </w:numPr>
        <w:spacing w:before="120" w:after="120"/>
        <w:ind w:left="360"/>
        <w:contextualSpacing/>
        <w:jc w:val="both"/>
        <w:rPr>
          <w:rFonts w:eastAsia="Calibri" w:cs="Arial"/>
          <w:bCs/>
          <w:color w:val="0D0D0D"/>
          <w:szCs w:val="24"/>
        </w:rPr>
      </w:pPr>
      <w:r w:rsidRPr="00692EA6">
        <w:rPr>
          <w:rFonts w:eastAsia="Arial" w:cs="Arial"/>
          <w:bCs/>
          <w:color w:val="0D0D0D" w:themeColor="text1" w:themeTint="F2"/>
          <w:szCs w:val="24"/>
          <w:lang w:val="en-AU"/>
        </w:rPr>
        <w:t xml:space="preserve">One key addition to </w:t>
      </w:r>
      <w:r w:rsidRPr="00692EA6">
        <w:rPr>
          <w:rFonts w:eastAsia="Arial" w:cs="Arial"/>
          <w:b/>
          <w:bCs/>
          <w:color w:val="0D0D0D" w:themeColor="text1" w:themeTint="F2"/>
          <w:szCs w:val="24"/>
          <w:lang w:val="en-AU"/>
        </w:rPr>
        <w:t>the Bank’s</w:t>
      </w:r>
      <w:r w:rsidRPr="00692EA6">
        <w:rPr>
          <w:rFonts w:eastAsia="Arial" w:cs="Arial"/>
          <w:bCs/>
          <w:color w:val="0D0D0D" w:themeColor="text1" w:themeTint="F2"/>
          <w:szCs w:val="24"/>
          <w:lang w:val="en-AU"/>
        </w:rPr>
        <w:t xml:space="preserve"> </w:t>
      </w:r>
      <w:r w:rsidRPr="00692EA6">
        <w:rPr>
          <w:rFonts w:eastAsia="Arial" w:cs="Arial"/>
          <w:b/>
          <w:bCs/>
          <w:color w:val="0D0D0D" w:themeColor="text1" w:themeTint="F2"/>
          <w:szCs w:val="24"/>
          <w:lang w:val="en-AU"/>
        </w:rPr>
        <w:t>forward guidance</w:t>
      </w:r>
      <w:r w:rsidRPr="00692EA6">
        <w:rPr>
          <w:rFonts w:eastAsia="Arial" w:cs="Arial"/>
          <w:bCs/>
          <w:color w:val="0D0D0D" w:themeColor="text1" w:themeTint="F2"/>
          <w:szCs w:val="24"/>
          <w:lang w:val="en-AU"/>
        </w:rPr>
        <w:t xml:space="preserve"> </w:t>
      </w:r>
      <w:r w:rsidRPr="00692EA6">
        <w:rPr>
          <w:rFonts w:eastAsia="Arial" w:cs="Arial"/>
          <w:b/>
          <w:bCs/>
          <w:color w:val="0D0D0D" w:themeColor="text1" w:themeTint="F2"/>
          <w:szCs w:val="24"/>
          <w:lang w:val="en-AU"/>
        </w:rPr>
        <w:t>in August</w:t>
      </w:r>
      <w:r w:rsidRPr="00692EA6">
        <w:rPr>
          <w:rFonts w:eastAsia="Arial" w:cs="Arial"/>
          <w:bCs/>
          <w:color w:val="0D0D0D" w:themeColor="text1" w:themeTint="F2"/>
          <w:szCs w:val="24"/>
          <w:lang w:val="en-AU"/>
        </w:rPr>
        <w:t xml:space="preserve"> was a new phrase in the policy statement, namely that “it does not intend to tighten monetary policy until there is clear evidence that significant progress is being made in eliminating spare capacity and achieving the 2% target sustainably”. That seems designed to say, in effect, that even if inflation rises to 2% in a couple of years’ time, do not expect any action from the MPC to raise Bank Rate – until they can clearly see that level of inflation is going to be persistently above target if it takes no action to raise Bank Rate. Our Bank Rate forecast currently shows no increase, (or decrease), through to quarter 1 2024 but there could well be no increase during the next five years as it will take some years to eliminate spare capacity in the economy, and therefore for inflationary pressures to rise to cause the MPC concern. </w:t>
      </w:r>
      <w:r w:rsidRPr="00692EA6">
        <w:rPr>
          <w:rFonts w:eastAsia="Arial" w:cs="Arial"/>
          <w:b/>
          <w:bCs/>
          <w:color w:val="0D0D0D" w:themeColor="text1" w:themeTint="F2"/>
          <w:szCs w:val="24"/>
          <w:lang w:val="en-AU"/>
        </w:rPr>
        <w:t>I</w:t>
      </w:r>
      <w:r w:rsidRPr="00692EA6">
        <w:rPr>
          <w:rFonts w:eastAsia="Arial" w:cs="Arial"/>
          <w:b/>
          <w:bCs/>
          <w:color w:val="0D0D0D" w:themeColor="text1" w:themeTint="F2"/>
          <w:szCs w:val="24"/>
        </w:rPr>
        <w:t>nflation</w:t>
      </w:r>
      <w:r w:rsidRPr="00692EA6">
        <w:rPr>
          <w:rFonts w:eastAsia="Arial" w:cs="Arial"/>
          <w:bCs/>
          <w:color w:val="0D0D0D" w:themeColor="text1" w:themeTint="F2"/>
          <w:szCs w:val="24"/>
        </w:rPr>
        <w:t xml:space="preserve"> is expected to briefly peak at just over 2% towards the end of 2021, but this is a temporary short lived factor due to base effects from twelve months ago falling out of the calculation, and so is not a concern. Looking further ahead, it is also unlikely to be a problem for some years as it will take a prolonged time for spare capacity in the economy, created by this downturn, to be used up.</w:t>
      </w:r>
    </w:p>
    <w:p w14:paraId="06A930F5" w14:textId="77777777" w:rsidR="0018443E" w:rsidRPr="00692EA6" w:rsidRDefault="0018443E" w:rsidP="0018443E">
      <w:pPr>
        <w:spacing w:before="120" w:after="120"/>
        <w:contextualSpacing/>
        <w:jc w:val="both"/>
        <w:rPr>
          <w:rFonts w:eastAsia="Calibri" w:cs="Arial"/>
          <w:bCs/>
          <w:color w:val="0D0D0D"/>
          <w:szCs w:val="24"/>
        </w:rPr>
      </w:pPr>
    </w:p>
    <w:p w14:paraId="23C7C880" w14:textId="77777777" w:rsidR="0018443E" w:rsidRPr="00692EA6" w:rsidRDefault="0018443E" w:rsidP="009E715C">
      <w:pPr>
        <w:numPr>
          <w:ilvl w:val="0"/>
          <w:numId w:val="54"/>
        </w:numPr>
        <w:spacing w:before="120" w:after="120"/>
        <w:ind w:left="360"/>
        <w:contextualSpacing/>
        <w:jc w:val="both"/>
        <w:rPr>
          <w:rFonts w:eastAsia="Calibri" w:cs="Arial"/>
          <w:bCs/>
          <w:color w:val="0D0D0D"/>
          <w:szCs w:val="24"/>
        </w:rPr>
      </w:pPr>
      <w:r w:rsidRPr="00692EA6">
        <w:rPr>
          <w:rFonts w:eastAsia="Calibri" w:cs="Arial"/>
          <w:b/>
          <w:bCs/>
          <w:color w:val="0D0D0D"/>
          <w:szCs w:val="24"/>
        </w:rPr>
        <w:lastRenderedPageBreak/>
        <w:t>Public borrowing</w:t>
      </w:r>
      <w:r w:rsidRPr="00692EA6">
        <w:rPr>
          <w:rFonts w:eastAsia="Calibri" w:cs="Arial"/>
          <w:bCs/>
          <w:color w:val="0D0D0D"/>
          <w:szCs w:val="24"/>
        </w:rPr>
        <w:t xml:space="preserve"> was forecast in November by the Office for Budget Responsibility (the OBR) to reach £394bn in the current financial year, the highest ever peace time deficit and equivalent to 19% of GDP.  In normal times, such an increase in total gilt issuance would lead to a rise in gilt yields, and so PWLB rates. However, the QE done by the Bank of England has depressed gilt yields to historic low levels, (as has similarly occurred with QE and debt issued in the US, the EU and Japan). This means that new UK debt being issued, and this is being done across the whole yield curve in all maturities, is locking in those historic low levels through until maturity. In addition, the UK has one of the longest average maturities for its entire debt portfolio, of any country in the world.  Overall, this means that the total interest bill paid by the Government is manageable despite the huge increase in the total amount of debt. The OBR was also forecasting that the government will still be running a budget deficit of £102bn (3.9% of GDP) by 2025/26.  However, initial impressions are that they have taken a pessimistic view of the impact that vaccines could make in the speed of economic recovery.</w:t>
      </w:r>
    </w:p>
    <w:p w14:paraId="42639165" w14:textId="77777777" w:rsidR="0018443E" w:rsidRPr="00692EA6" w:rsidRDefault="0018443E" w:rsidP="009E715C">
      <w:pPr>
        <w:pStyle w:val="ListParagraph"/>
        <w:numPr>
          <w:ilvl w:val="0"/>
          <w:numId w:val="54"/>
        </w:numPr>
        <w:ind w:left="360"/>
        <w:jc w:val="both"/>
        <w:rPr>
          <w:rFonts w:eastAsia="Arial" w:cs="Arial"/>
          <w:bCs/>
          <w:color w:val="0D0D0D" w:themeColor="text1" w:themeTint="F2"/>
          <w:szCs w:val="24"/>
          <w:lang w:val="en-AU"/>
        </w:rPr>
      </w:pPr>
      <w:r w:rsidRPr="00692EA6">
        <w:rPr>
          <w:rFonts w:eastAsia="Arial" w:cs="Arial"/>
          <w:bCs/>
          <w:color w:val="0D0D0D" w:themeColor="text1" w:themeTint="F2"/>
          <w:szCs w:val="24"/>
          <w:lang w:val="en-AU"/>
        </w:rPr>
        <w:t xml:space="preserve">Overall, </w:t>
      </w:r>
      <w:r w:rsidRPr="00692EA6">
        <w:rPr>
          <w:rFonts w:eastAsia="Arial" w:cs="Arial"/>
          <w:b/>
          <w:bCs/>
          <w:color w:val="0D0D0D" w:themeColor="text1" w:themeTint="F2"/>
          <w:szCs w:val="24"/>
          <w:lang w:val="en-AU"/>
        </w:rPr>
        <w:t>the pace of recovery</w:t>
      </w:r>
      <w:r w:rsidRPr="00692EA6">
        <w:rPr>
          <w:rFonts w:eastAsia="Arial" w:cs="Arial"/>
          <w:bCs/>
          <w:color w:val="0D0D0D" w:themeColor="text1" w:themeTint="F2"/>
          <w:szCs w:val="24"/>
          <w:lang w:val="en-AU"/>
        </w:rPr>
        <w:t xml:space="preserve"> was not expected to be in the form of a rapid V shape, but a more elongated and prolonged one. The initial recovery was sharp after quarter 1 saw growth at -3.0% followed by -18.8% in quarter 2 and then an upswing of +16.0% in quarter 3; this still left the economy 8.6% smaller than in Q4 2019. While the one month second national lockdown that started on 5</w:t>
      </w:r>
      <w:r w:rsidRPr="00692EA6">
        <w:rPr>
          <w:rFonts w:eastAsia="Arial" w:cs="Arial"/>
          <w:bCs/>
          <w:color w:val="0D0D0D" w:themeColor="text1" w:themeTint="F2"/>
          <w:szCs w:val="24"/>
          <w:vertAlign w:val="superscript"/>
          <w:lang w:val="en-AU"/>
        </w:rPr>
        <w:t>th</w:t>
      </w:r>
      <w:r w:rsidRPr="00692EA6">
        <w:rPr>
          <w:rFonts w:eastAsia="Arial" w:cs="Arial"/>
          <w:bCs/>
          <w:color w:val="0D0D0D" w:themeColor="text1" w:themeTint="F2"/>
          <w:szCs w:val="24"/>
          <w:lang w:val="en-AU"/>
        </w:rPr>
        <w:t xml:space="preserve"> November caused a further contraction of 5.7% m/m in November, this was much better than had been feared and showed that the economy is adapting to new ways of working. This left the economy ‘only’ 8.6% below the pre-crisis level.  </w:t>
      </w:r>
    </w:p>
    <w:p w14:paraId="00CDA0B1" w14:textId="77777777" w:rsidR="0018443E" w:rsidRPr="00692EA6" w:rsidRDefault="0018443E" w:rsidP="0018443E">
      <w:pPr>
        <w:ind w:left="360" w:hanging="360"/>
        <w:jc w:val="both"/>
        <w:rPr>
          <w:rFonts w:eastAsia="Arial" w:cs="Arial"/>
          <w:bCs/>
          <w:color w:val="0D0D0D" w:themeColor="text1" w:themeTint="F2"/>
          <w:szCs w:val="24"/>
          <w:lang w:val="en-AU"/>
        </w:rPr>
      </w:pPr>
    </w:p>
    <w:p w14:paraId="6B9A6756" w14:textId="77777777" w:rsidR="0018443E" w:rsidRPr="00692EA6" w:rsidRDefault="0018443E" w:rsidP="009E715C">
      <w:pPr>
        <w:numPr>
          <w:ilvl w:val="0"/>
          <w:numId w:val="58"/>
        </w:numPr>
        <w:tabs>
          <w:tab w:val="clear" w:pos="720"/>
          <w:tab w:val="num" w:pos="360"/>
        </w:tabs>
        <w:ind w:left="360"/>
        <w:jc w:val="both"/>
        <w:rPr>
          <w:rFonts w:eastAsia="Arial" w:cs="Arial"/>
          <w:bCs/>
          <w:color w:val="0D0D0D" w:themeColor="text1" w:themeTint="F2"/>
          <w:szCs w:val="24"/>
        </w:rPr>
      </w:pPr>
      <w:r w:rsidRPr="00692EA6">
        <w:rPr>
          <w:rFonts w:eastAsia="Arial" w:cs="Arial"/>
          <w:bCs/>
          <w:color w:val="0D0D0D" w:themeColor="text1" w:themeTint="F2"/>
          <w:szCs w:val="24"/>
          <w:lang w:val="en-AU" w:eastAsia="en-GB"/>
        </w:rPr>
        <w:t xml:space="preserve"> </w:t>
      </w:r>
      <w:r w:rsidRPr="00692EA6">
        <w:rPr>
          <w:rFonts w:eastAsia="Arial" w:cs="Arial"/>
          <w:b/>
          <w:bCs/>
          <w:color w:val="0D0D0D" w:themeColor="text1" w:themeTint="F2"/>
          <w:szCs w:val="24"/>
          <w:lang w:val="en-AU" w:eastAsia="en-GB"/>
        </w:rPr>
        <w:t>Vaccines – the game changer.</w:t>
      </w:r>
      <w:r w:rsidRPr="00692EA6">
        <w:rPr>
          <w:rFonts w:eastAsia="Arial" w:cs="Arial"/>
          <w:bCs/>
          <w:color w:val="0D0D0D" w:themeColor="text1" w:themeTint="F2"/>
          <w:szCs w:val="24"/>
          <w:lang w:val="en-AU" w:eastAsia="en-GB"/>
        </w:rPr>
        <w:t xml:space="preserve">  The </w:t>
      </w:r>
      <w:r w:rsidRPr="00692EA6">
        <w:rPr>
          <w:rFonts w:eastAsia="Arial" w:cs="Arial"/>
          <w:bCs/>
          <w:color w:val="0D0D0D"/>
          <w:szCs w:val="24"/>
        </w:rPr>
        <w:t>Pfizer announcement on 9</w:t>
      </w:r>
      <w:r w:rsidRPr="00692EA6">
        <w:rPr>
          <w:rFonts w:eastAsia="Arial" w:cs="Arial"/>
          <w:bCs/>
          <w:color w:val="0D0D0D"/>
          <w:szCs w:val="24"/>
          <w:vertAlign w:val="superscript"/>
        </w:rPr>
        <w:t>th</w:t>
      </w:r>
      <w:r w:rsidRPr="00692EA6">
        <w:rPr>
          <w:rFonts w:eastAsia="Arial" w:cs="Arial"/>
          <w:bCs/>
          <w:color w:val="0D0D0D"/>
          <w:szCs w:val="24"/>
        </w:rPr>
        <w:t xml:space="preserve"> November of a successful vaccine has been followed by approval of the Oxford University/AstraZeneca and Moderna vaccines. The Government has a set a target to vaccinate 14 million people in the most at risk sectors of the population by 15th February; as of mid-January, it has made good, and accelerating progress in hitting that target.  The aim is to vaccinate all adults by September.  This means that the national lockdown starting in early January, could be replaced by regional tiers of lighter restrictions, beginning possibly in Q2.  At that point, there would be less reason to fear that hospitals could become overwhelmed any more. Effective vaccines have radically improved the economic outlook so that it may now be possible for GDP to recover to its pre-virus level as early as Q1 2022. These vaccines have enormously boosted confidence that </w:t>
      </w:r>
      <w:r w:rsidRPr="00692EA6">
        <w:rPr>
          <w:rFonts w:eastAsia="Arial" w:cs="Arial"/>
          <w:b/>
          <w:bCs/>
          <w:color w:val="0D0D0D"/>
          <w:szCs w:val="24"/>
        </w:rPr>
        <w:t>life could largely return to normal during the second half of 2021</w:t>
      </w:r>
      <w:r w:rsidRPr="00692EA6">
        <w:rPr>
          <w:rFonts w:eastAsia="Arial" w:cs="Arial"/>
          <w:bCs/>
          <w:color w:val="0D0D0D"/>
          <w:szCs w:val="24"/>
        </w:rPr>
        <w:t>. With the household saving rate having been exceptionally high since the first lockdown in March, there is plenty of pent-up demand and purchasing power stored up for when life returns to normal.</w:t>
      </w:r>
    </w:p>
    <w:p w14:paraId="1D7B418F" w14:textId="77777777" w:rsidR="0018443E" w:rsidRPr="00692EA6" w:rsidRDefault="0018443E" w:rsidP="0018443E">
      <w:pPr>
        <w:ind w:left="360" w:hanging="360"/>
        <w:jc w:val="both"/>
        <w:rPr>
          <w:rFonts w:eastAsia="Arial" w:cs="Arial"/>
          <w:bCs/>
          <w:color w:val="0D0D0D" w:themeColor="text1" w:themeTint="F2"/>
          <w:szCs w:val="24"/>
        </w:rPr>
      </w:pPr>
    </w:p>
    <w:p w14:paraId="1C8EDEF2" w14:textId="77777777" w:rsidR="0018443E" w:rsidRPr="00692EA6" w:rsidRDefault="0018443E" w:rsidP="009E715C">
      <w:pPr>
        <w:numPr>
          <w:ilvl w:val="0"/>
          <w:numId w:val="58"/>
        </w:numPr>
        <w:tabs>
          <w:tab w:val="clear" w:pos="720"/>
          <w:tab w:val="num" w:pos="360"/>
        </w:tabs>
        <w:ind w:left="360"/>
        <w:jc w:val="both"/>
        <w:rPr>
          <w:rFonts w:eastAsia="Arial" w:cs="Arial"/>
          <w:bCs/>
          <w:color w:val="0D0D0D" w:themeColor="text1" w:themeTint="F2"/>
          <w:szCs w:val="24"/>
        </w:rPr>
      </w:pPr>
      <w:r w:rsidRPr="00692EA6">
        <w:rPr>
          <w:rFonts w:eastAsia="Arial" w:cs="Arial"/>
          <w:bCs/>
          <w:color w:val="0D0D0D" w:themeColor="text1" w:themeTint="F2"/>
          <w:szCs w:val="24"/>
        </w:rPr>
        <w:t xml:space="preserve">Provided that both monetary and fiscal policy are kept loose for a few years yet, then it is still possible that in the second half of this decade, the economy may be no smaller than it would have been if COVID-19 never happened. The significant risk is if another mutation of COVID-19 appears that defeats the current batch of vaccines. However, now that science and technology have caught up with understanding this virus, new vaccines ought to be able to be developed more quickly to counter such a </w:t>
      </w:r>
      <w:r w:rsidRPr="00692EA6">
        <w:rPr>
          <w:rFonts w:eastAsia="Arial" w:cs="Arial"/>
          <w:bCs/>
          <w:color w:val="0D0D0D" w:themeColor="text1" w:themeTint="F2"/>
          <w:szCs w:val="24"/>
        </w:rPr>
        <w:lastRenderedPageBreak/>
        <w:t xml:space="preserve">development, and vaccine production facilities are being ramped up around the world. </w:t>
      </w:r>
    </w:p>
    <w:p w14:paraId="300BB525" w14:textId="77777777" w:rsidR="0018443E" w:rsidRPr="00692EA6" w:rsidRDefault="0018443E" w:rsidP="0018443E">
      <w:pPr>
        <w:ind w:left="698"/>
        <w:jc w:val="both"/>
        <w:rPr>
          <w:rFonts w:eastAsia="Arial" w:cs="Arial"/>
          <w:bCs/>
          <w:color w:val="0D0D0D" w:themeColor="text1" w:themeTint="F2"/>
          <w:szCs w:val="24"/>
        </w:rPr>
      </w:pPr>
      <w:r w:rsidRPr="00692EA6">
        <w:rPr>
          <w:rFonts w:eastAsia="Arial" w:cs="Arial"/>
          <w:bCs/>
          <w:color w:val="0D0D0D" w:themeColor="text1" w:themeTint="F2"/>
          <w:szCs w:val="24"/>
        </w:rPr>
        <w:t xml:space="preserve">                       Chart: Level of real GDP   (Q4 2019 = 100)</w:t>
      </w:r>
    </w:p>
    <w:p w14:paraId="4C310E01" w14:textId="77777777" w:rsidR="0018443E" w:rsidRDefault="0018443E" w:rsidP="0018443E">
      <w:pPr>
        <w:ind w:left="1058"/>
        <w:jc w:val="both"/>
        <w:rPr>
          <w:rFonts w:eastAsia="Arial" w:cs="Arial"/>
          <w:bCs/>
          <w:color w:val="0D0D0D" w:themeColor="text1" w:themeTint="F2"/>
          <w:sz w:val="22"/>
          <w:szCs w:val="22"/>
          <w:lang w:val="en-AU"/>
        </w:rPr>
      </w:pPr>
    </w:p>
    <w:p w14:paraId="10F313BC" w14:textId="77777777" w:rsidR="0018443E" w:rsidRDefault="0018443E" w:rsidP="0018443E">
      <w:pPr>
        <w:ind w:left="1058"/>
        <w:jc w:val="both"/>
        <w:rPr>
          <w:rFonts w:eastAsia="Arial" w:cs="Arial"/>
          <w:bCs/>
          <w:color w:val="0D0D0D" w:themeColor="text1" w:themeTint="F2"/>
          <w:sz w:val="22"/>
          <w:szCs w:val="22"/>
          <w:lang w:val="en-AU"/>
        </w:rPr>
      </w:pPr>
    </w:p>
    <w:p w14:paraId="5848BED4" w14:textId="77777777" w:rsidR="0018443E" w:rsidRDefault="0018443E" w:rsidP="0018443E">
      <w:pPr>
        <w:ind w:left="1058"/>
        <w:jc w:val="both"/>
        <w:rPr>
          <w:rFonts w:eastAsia="Arial" w:cs="Arial"/>
          <w:bCs/>
          <w:color w:val="0D0D0D" w:themeColor="text1" w:themeTint="F2"/>
          <w:sz w:val="22"/>
          <w:szCs w:val="22"/>
          <w:lang w:val="en-AU"/>
        </w:rPr>
      </w:pPr>
      <w:r>
        <w:rPr>
          <w:rFonts w:eastAsia="Arial" w:cs="Arial"/>
          <w:bCs/>
          <w:noProof/>
          <w:color w:val="0D0D0D" w:themeColor="text1" w:themeTint="F2"/>
          <w:sz w:val="22"/>
          <w:szCs w:val="22"/>
          <w:lang w:eastAsia="en-GB"/>
        </w:rPr>
        <w:drawing>
          <wp:inline distT="0" distB="0" distL="0" distR="0" wp14:anchorId="6ADAAEA9" wp14:editId="626B84BA">
            <wp:extent cx="4076700" cy="2303601"/>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76129" cy="2303278"/>
                    </a:xfrm>
                    <a:prstGeom prst="rect">
                      <a:avLst/>
                    </a:prstGeom>
                    <a:noFill/>
                  </pic:spPr>
                </pic:pic>
              </a:graphicData>
            </a:graphic>
          </wp:inline>
        </w:drawing>
      </w:r>
    </w:p>
    <w:p w14:paraId="79CDB94F" w14:textId="77777777" w:rsidR="0018443E" w:rsidRPr="00E94354" w:rsidRDefault="0018443E" w:rsidP="0018443E">
      <w:pPr>
        <w:ind w:left="1058"/>
        <w:jc w:val="both"/>
        <w:rPr>
          <w:rFonts w:eastAsia="Arial" w:cs="Arial"/>
          <w:bCs/>
          <w:color w:val="0D0D0D" w:themeColor="text1" w:themeTint="F2"/>
          <w:sz w:val="22"/>
          <w:szCs w:val="22"/>
          <w:lang w:val="en-AU"/>
        </w:rPr>
      </w:pPr>
    </w:p>
    <w:p w14:paraId="644AF3EC" w14:textId="77777777" w:rsidR="0018443E" w:rsidRPr="00E94354" w:rsidRDefault="0018443E" w:rsidP="0018443E">
      <w:pPr>
        <w:ind w:left="426"/>
        <w:jc w:val="both"/>
        <w:rPr>
          <w:rFonts w:eastAsia="Arial" w:cs="Arial"/>
          <w:bCs/>
          <w:i/>
          <w:color w:val="0D0D0D" w:themeColor="text1" w:themeTint="F2"/>
          <w:sz w:val="22"/>
          <w:szCs w:val="22"/>
          <w:lang w:val="en-AU"/>
        </w:rPr>
      </w:pPr>
      <w:r w:rsidRPr="00E94354">
        <w:rPr>
          <w:rFonts w:eastAsia="Arial" w:cs="Arial"/>
          <w:bCs/>
          <w:i/>
          <w:color w:val="0D0D0D" w:themeColor="text1" w:themeTint="F2"/>
          <w:sz w:val="22"/>
          <w:szCs w:val="22"/>
          <w:lang w:val="en-AU"/>
        </w:rPr>
        <w:t>(if unable to print in colour…... the key describing each line in the above graph is in sequential order from top to bottom in parallel with the lines in the graph.</w:t>
      </w:r>
    </w:p>
    <w:p w14:paraId="2A7C980D" w14:textId="77777777" w:rsidR="0018443E" w:rsidRPr="00E94354" w:rsidRDefault="0018443E" w:rsidP="0018443E">
      <w:pPr>
        <w:jc w:val="both"/>
        <w:rPr>
          <w:rFonts w:eastAsia="Arial" w:cs="Arial"/>
          <w:bCs/>
          <w:color w:val="0D0D0D" w:themeColor="text1" w:themeTint="F2"/>
          <w:sz w:val="22"/>
          <w:szCs w:val="22"/>
          <w:lang w:val="en-AU"/>
        </w:rPr>
      </w:pPr>
    </w:p>
    <w:p w14:paraId="08E1F31B" w14:textId="77777777" w:rsidR="0018443E" w:rsidRPr="00692EA6" w:rsidRDefault="0018443E" w:rsidP="0018443E">
      <w:pPr>
        <w:ind w:left="426"/>
        <w:jc w:val="both"/>
        <w:rPr>
          <w:rFonts w:eastAsia="Arial" w:cs="Arial"/>
          <w:bCs/>
          <w:color w:val="0D0D0D" w:themeColor="text1" w:themeTint="F2"/>
          <w:szCs w:val="24"/>
        </w:rPr>
      </w:pPr>
      <w:r w:rsidRPr="00692EA6">
        <w:rPr>
          <w:rFonts w:eastAsia="Arial" w:cs="Arial"/>
          <w:bCs/>
          <w:color w:val="0D0D0D" w:themeColor="text1" w:themeTint="F2"/>
          <w:szCs w:val="24"/>
        </w:rPr>
        <w:t>This recovery of growth which eliminates the effects of the pandemic by about the middle of the decade, would have major repercussions for public finances as it would be consistent with the government deficit falling to around 2.5% of GDP without any tax increases.  This would be in line with the OBR’s most optimistic forecast in the graph below, rather than their current central scenario which predicts a 4% deficit due to assuming much slower growth.  However, Capital Economics forecasts assumed that politicians do not raise taxes or embark on major austerity measures and so, (perversely!), depress economic growth and recovery.</w:t>
      </w:r>
    </w:p>
    <w:p w14:paraId="5F38181E" w14:textId="77777777" w:rsidR="0018443E" w:rsidRPr="00692EA6" w:rsidRDefault="0018443E" w:rsidP="0018443E">
      <w:pPr>
        <w:ind w:left="426"/>
        <w:jc w:val="both"/>
        <w:rPr>
          <w:rFonts w:eastAsia="Arial" w:cs="Arial"/>
          <w:bCs/>
          <w:color w:val="0D0D0D" w:themeColor="text1" w:themeTint="F2"/>
          <w:szCs w:val="24"/>
        </w:rPr>
      </w:pPr>
    </w:p>
    <w:p w14:paraId="0602116A" w14:textId="77777777" w:rsidR="0018443E" w:rsidRPr="00692EA6" w:rsidRDefault="0018443E" w:rsidP="0018443E">
      <w:pPr>
        <w:ind w:left="426"/>
        <w:jc w:val="both"/>
        <w:rPr>
          <w:rFonts w:eastAsia="Arial" w:cs="Arial"/>
          <w:bCs/>
          <w:color w:val="0D0D0D" w:themeColor="text1" w:themeTint="F2"/>
          <w:szCs w:val="24"/>
        </w:rPr>
      </w:pPr>
      <w:r w:rsidRPr="00692EA6">
        <w:rPr>
          <w:rFonts w:eastAsia="Arial" w:cs="Arial"/>
          <w:bCs/>
          <w:color w:val="0D0D0D" w:themeColor="text1" w:themeTint="F2"/>
          <w:szCs w:val="24"/>
        </w:rPr>
        <w:t xml:space="preserve">                 Chart: Public Sector Net Borrowing (as a % of GDP)</w:t>
      </w:r>
    </w:p>
    <w:p w14:paraId="1862D32C" w14:textId="77777777" w:rsidR="0018443E" w:rsidRPr="00E94354" w:rsidRDefault="0018443E" w:rsidP="0018443E">
      <w:pPr>
        <w:ind w:left="1134"/>
        <w:jc w:val="both"/>
        <w:rPr>
          <w:rFonts w:eastAsia="Arial" w:cs="Arial"/>
          <w:bCs/>
          <w:color w:val="0D0D0D" w:themeColor="text1" w:themeTint="F2"/>
          <w:sz w:val="22"/>
          <w:szCs w:val="22"/>
          <w:lang w:val="en-AU"/>
        </w:rPr>
      </w:pPr>
      <w:r w:rsidRPr="00E94354">
        <w:rPr>
          <w:rFonts w:eastAsia="Arial" w:cs="Arial"/>
          <w:bCs/>
          <w:noProof/>
          <w:color w:val="0D0D0D" w:themeColor="text1" w:themeTint="F2"/>
          <w:sz w:val="22"/>
          <w:szCs w:val="22"/>
          <w:lang w:eastAsia="en-GB"/>
        </w:rPr>
        <w:drawing>
          <wp:inline distT="0" distB="0" distL="0" distR="0" wp14:anchorId="51CFACCF" wp14:editId="272567DA">
            <wp:extent cx="3636531" cy="204787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39737" cy="2049681"/>
                    </a:xfrm>
                    <a:prstGeom prst="rect">
                      <a:avLst/>
                    </a:prstGeom>
                    <a:noFill/>
                  </pic:spPr>
                </pic:pic>
              </a:graphicData>
            </a:graphic>
          </wp:inline>
        </w:drawing>
      </w:r>
    </w:p>
    <w:p w14:paraId="224BF349" w14:textId="77777777" w:rsidR="0018443E" w:rsidRPr="00E94354" w:rsidRDefault="0018443E" w:rsidP="0018443E">
      <w:pPr>
        <w:jc w:val="both"/>
        <w:rPr>
          <w:rFonts w:eastAsia="Arial" w:cs="Arial"/>
          <w:bCs/>
          <w:color w:val="0D0D0D" w:themeColor="text1" w:themeTint="F2"/>
          <w:sz w:val="22"/>
          <w:szCs w:val="22"/>
          <w:lang w:val="en-AU"/>
        </w:rPr>
      </w:pPr>
    </w:p>
    <w:p w14:paraId="56C1091E" w14:textId="77777777" w:rsidR="0018443E" w:rsidRPr="00E94354" w:rsidRDefault="0018443E" w:rsidP="0018443E">
      <w:pPr>
        <w:ind w:left="360"/>
        <w:jc w:val="both"/>
        <w:rPr>
          <w:rFonts w:eastAsia="Arial" w:cs="Arial"/>
          <w:bCs/>
          <w:i/>
          <w:color w:val="0D0D0D" w:themeColor="text1" w:themeTint="F2"/>
          <w:sz w:val="22"/>
          <w:szCs w:val="22"/>
          <w:lang w:val="en-AU"/>
        </w:rPr>
      </w:pPr>
      <w:r w:rsidRPr="00E94354">
        <w:rPr>
          <w:rFonts w:eastAsia="Arial" w:cs="Arial"/>
          <w:bCs/>
          <w:i/>
          <w:color w:val="0D0D0D" w:themeColor="text1" w:themeTint="F2"/>
          <w:sz w:val="22"/>
          <w:szCs w:val="22"/>
          <w:lang w:val="en-AU"/>
        </w:rPr>
        <w:t>(if unable to print in colour…... the key describing each line in the above graph is in sequential order from top to bottom in parallel with the lines in the graph.</w:t>
      </w:r>
    </w:p>
    <w:p w14:paraId="46879652" w14:textId="77777777" w:rsidR="0018443E" w:rsidRPr="00E94354" w:rsidRDefault="0018443E" w:rsidP="0018443E">
      <w:pPr>
        <w:pStyle w:val="ListParagraph"/>
        <w:ind w:left="360"/>
        <w:jc w:val="both"/>
        <w:rPr>
          <w:rFonts w:eastAsia="Arial" w:cs="Arial"/>
          <w:bCs/>
          <w:color w:val="0D0D0D" w:themeColor="text1" w:themeTint="F2"/>
          <w:lang w:val="en-AU"/>
        </w:rPr>
      </w:pPr>
    </w:p>
    <w:p w14:paraId="5A9E9A22" w14:textId="77777777" w:rsidR="0018443E" w:rsidRPr="00E94354" w:rsidRDefault="0018443E" w:rsidP="009E715C">
      <w:pPr>
        <w:pStyle w:val="ListParagraph"/>
        <w:numPr>
          <w:ilvl w:val="0"/>
          <w:numId w:val="56"/>
        </w:numPr>
        <w:ind w:left="360"/>
        <w:jc w:val="both"/>
        <w:rPr>
          <w:rFonts w:eastAsia="Arial" w:cs="Arial"/>
          <w:bCs/>
          <w:color w:val="0D0D0D" w:themeColor="text1" w:themeTint="F2"/>
          <w:lang w:val="en-AU"/>
        </w:rPr>
      </w:pPr>
      <w:r w:rsidRPr="00E94354">
        <w:rPr>
          <w:rFonts w:eastAsia="Arial" w:cs="Arial"/>
          <w:bCs/>
          <w:color w:val="0D0D0D" w:themeColor="text1" w:themeTint="F2"/>
          <w:lang w:val="en-AU"/>
        </w:rPr>
        <w:t xml:space="preserve">There will still be some </w:t>
      </w:r>
      <w:r w:rsidRPr="00E94354">
        <w:rPr>
          <w:rFonts w:eastAsia="Arial" w:cs="Arial"/>
          <w:b/>
          <w:bCs/>
          <w:color w:val="0D0D0D" w:themeColor="text1" w:themeTint="F2"/>
          <w:lang w:val="en-AU"/>
        </w:rPr>
        <w:t>painful longer term adjustments</w:t>
      </w:r>
      <w:r w:rsidRPr="00E94354">
        <w:rPr>
          <w:rFonts w:eastAsia="Arial" w:cs="Arial"/>
          <w:bCs/>
          <w:color w:val="0D0D0D" w:themeColor="text1" w:themeTint="F2"/>
          <w:lang w:val="en-AU"/>
        </w:rPr>
        <w:t xml:space="preserve"> as e.g. office space and travel by planes, trains and buses may not recover to their previous level of use for several years, or possibly ever, even if vaccines are fully successful in overcoming the current virus. There is also likely to be a </w:t>
      </w:r>
      <w:r w:rsidRPr="007F054B">
        <w:rPr>
          <w:rFonts w:eastAsia="Arial" w:cs="Arial"/>
          <w:b/>
          <w:bCs/>
          <w:color w:val="0D0D0D" w:themeColor="text1" w:themeTint="F2"/>
          <w:lang w:val="en-AU"/>
        </w:rPr>
        <w:t>reversal of globalisation</w:t>
      </w:r>
      <w:r w:rsidRPr="00E94354">
        <w:rPr>
          <w:rFonts w:eastAsia="Arial" w:cs="Arial"/>
          <w:bCs/>
          <w:color w:val="0D0D0D" w:themeColor="text1" w:themeTint="F2"/>
          <w:lang w:val="en-AU"/>
        </w:rPr>
        <w:t xml:space="preserve"> as this crisis has exposed how vulnerable long-</w:t>
      </w:r>
      <w:r w:rsidRPr="00E94354">
        <w:rPr>
          <w:rFonts w:eastAsia="Arial" w:cs="Arial"/>
          <w:bCs/>
          <w:color w:val="0D0D0D" w:themeColor="text1" w:themeTint="F2"/>
          <w:lang w:val="en-AU"/>
        </w:rPr>
        <w:lastRenderedPageBreak/>
        <w:t xml:space="preserve">distance supply chains are. On the other hand, </w:t>
      </w:r>
      <w:r w:rsidRPr="00FE25A4">
        <w:rPr>
          <w:rFonts w:eastAsia="Arial" w:cs="Arial"/>
          <w:b/>
          <w:bCs/>
          <w:color w:val="0D0D0D" w:themeColor="text1" w:themeTint="F2"/>
          <w:lang w:val="en-AU"/>
        </w:rPr>
        <w:t>digital services</w:t>
      </w:r>
      <w:r w:rsidRPr="00E94354">
        <w:rPr>
          <w:rFonts w:eastAsia="Arial" w:cs="Arial"/>
          <w:bCs/>
          <w:color w:val="0D0D0D" w:themeColor="text1" w:themeTint="F2"/>
          <w:lang w:val="en-AU"/>
        </w:rPr>
        <w:t xml:space="preserve"> are one area that has already seen huge growth.</w:t>
      </w:r>
    </w:p>
    <w:p w14:paraId="118BFC19" w14:textId="77777777" w:rsidR="0018443E" w:rsidRPr="00E94354" w:rsidRDefault="0018443E" w:rsidP="0018443E">
      <w:pPr>
        <w:pStyle w:val="ListParagraph"/>
        <w:rPr>
          <w:rFonts w:eastAsia="Arial" w:cs="Arial"/>
          <w:bCs/>
          <w:color w:val="0D0D0D" w:themeColor="text1" w:themeTint="F2"/>
          <w:lang w:val="en-AU"/>
        </w:rPr>
      </w:pPr>
    </w:p>
    <w:p w14:paraId="4252F438" w14:textId="77777777" w:rsidR="0018443E" w:rsidRPr="00E94354" w:rsidRDefault="0018443E" w:rsidP="009E715C">
      <w:pPr>
        <w:pStyle w:val="ListParagraph"/>
        <w:numPr>
          <w:ilvl w:val="0"/>
          <w:numId w:val="56"/>
        </w:numPr>
        <w:ind w:left="360"/>
        <w:jc w:val="both"/>
        <w:rPr>
          <w:rFonts w:eastAsia="Arial" w:cs="Arial"/>
          <w:bCs/>
          <w:color w:val="0D0D0D" w:themeColor="text1" w:themeTint="F2"/>
          <w:lang w:val="en-AU"/>
        </w:rPr>
      </w:pPr>
      <w:r w:rsidRPr="00E94354">
        <w:rPr>
          <w:rFonts w:eastAsia="Arial" w:cs="Arial"/>
          <w:b/>
          <w:bCs/>
          <w:color w:val="0D0D0D" w:themeColor="text1" w:themeTint="F2"/>
          <w:lang w:val="en-AU"/>
        </w:rPr>
        <w:t>Brexit.</w:t>
      </w:r>
      <w:r w:rsidRPr="00E94354">
        <w:rPr>
          <w:rFonts w:eastAsia="Arial" w:cs="Arial"/>
          <w:bCs/>
          <w:color w:val="0D0D0D" w:themeColor="text1" w:themeTint="F2"/>
          <w:lang w:val="en-AU"/>
        </w:rPr>
        <w:t xml:space="preserve"> </w:t>
      </w:r>
      <w:r>
        <w:rPr>
          <w:rFonts w:eastAsia="Arial" w:cs="Arial"/>
          <w:bCs/>
          <w:color w:val="0D0D0D" w:themeColor="text1" w:themeTint="F2"/>
          <w:lang w:val="en-AU"/>
        </w:rPr>
        <w:t>T</w:t>
      </w:r>
      <w:r w:rsidRPr="00E94354">
        <w:rPr>
          <w:rFonts w:eastAsia="Arial" w:cs="Arial"/>
          <w:bCs/>
          <w:color w:val="0D0D0D" w:themeColor="text1" w:themeTint="F2"/>
          <w:lang w:val="en-AU"/>
        </w:rPr>
        <w:t xml:space="preserve">he final agreement </w:t>
      </w:r>
      <w:r>
        <w:rPr>
          <w:rFonts w:eastAsia="Arial" w:cs="Arial"/>
          <w:bCs/>
          <w:color w:val="0D0D0D" w:themeColor="text1" w:themeTint="F2"/>
          <w:lang w:val="en-AU"/>
        </w:rPr>
        <w:t xml:space="preserve">of a trade deal </w:t>
      </w:r>
      <w:r w:rsidRPr="00E94354">
        <w:rPr>
          <w:rFonts w:eastAsia="Arial" w:cs="Arial"/>
          <w:bCs/>
          <w:color w:val="0D0D0D" w:themeColor="text1" w:themeTint="F2"/>
          <w:lang w:val="en-AU"/>
        </w:rPr>
        <w:t xml:space="preserve">on </w:t>
      </w:r>
      <w:r>
        <w:rPr>
          <w:rFonts w:eastAsia="Arial" w:cs="Arial"/>
          <w:bCs/>
          <w:color w:val="0D0D0D" w:themeColor="text1" w:themeTint="F2"/>
          <w:lang w:val="en-AU"/>
        </w:rPr>
        <w:t xml:space="preserve">24.12.20 </w:t>
      </w:r>
      <w:r w:rsidRPr="00E94354">
        <w:rPr>
          <w:rFonts w:eastAsia="Arial" w:cs="Arial"/>
          <w:bCs/>
          <w:color w:val="0D0D0D" w:themeColor="text1" w:themeTint="F2"/>
          <w:lang w:val="en-AU"/>
        </w:rPr>
        <w:t>has eliminated a significant downside risk for the UK economy.  The initial agreement only covers trade so there is further work to be done on the services sector where temporary equivalence has been granted in both directions between the UK and EU; that now needs to be formalised on a permanent basis.  As the forecasts in this report were based on an assumption of a Brexit agreement being reached, there is no need to amend these forecasts.</w:t>
      </w:r>
    </w:p>
    <w:p w14:paraId="036FD779" w14:textId="77777777" w:rsidR="0018443E" w:rsidRPr="00E94354" w:rsidRDefault="0018443E" w:rsidP="0018443E">
      <w:pPr>
        <w:pStyle w:val="ListParagraph"/>
        <w:rPr>
          <w:rFonts w:eastAsia="Arial" w:cs="Arial"/>
          <w:b/>
          <w:bCs/>
          <w:color w:val="0D0D0D" w:themeColor="text1" w:themeTint="F2"/>
          <w:lang w:val="en-AU"/>
        </w:rPr>
      </w:pPr>
    </w:p>
    <w:p w14:paraId="74A9E93D" w14:textId="77777777" w:rsidR="0018443E" w:rsidRPr="00E94354" w:rsidRDefault="0018443E" w:rsidP="009E715C">
      <w:pPr>
        <w:pStyle w:val="ListParagraph"/>
        <w:numPr>
          <w:ilvl w:val="0"/>
          <w:numId w:val="56"/>
        </w:numPr>
        <w:ind w:left="360"/>
        <w:jc w:val="both"/>
        <w:rPr>
          <w:rFonts w:eastAsia="Arial" w:cs="Arial"/>
          <w:bCs/>
          <w:color w:val="0D0D0D" w:themeColor="text1" w:themeTint="F2"/>
          <w:lang w:val="en-AU"/>
        </w:rPr>
      </w:pPr>
      <w:r w:rsidRPr="00E94354">
        <w:rPr>
          <w:rFonts w:eastAsia="Arial" w:cs="Arial"/>
          <w:b/>
          <w:bCs/>
          <w:color w:val="0D0D0D" w:themeColor="text1" w:themeTint="F2"/>
          <w:lang w:val="en-AU"/>
        </w:rPr>
        <w:t>Monetary Policy Committee meeting of 17 December.</w:t>
      </w:r>
      <w:r w:rsidRPr="00E94354">
        <w:rPr>
          <w:rFonts w:eastAsia="Arial" w:cs="Arial"/>
          <w:bCs/>
          <w:color w:val="0D0D0D" w:themeColor="text1" w:themeTint="F2"/>
          <w:lang w:val="en-AU"/>
        </w:rPr>
        <w:t xml:space="preserve">  All nine Committee members voted to keep interest rates on hold at +0.10% and the Quantitative Easing (QE) target at £895bn. The MPC commented that the successful rollout of vaccines had reduced the downsides risks to the economy that it had highlighted in November. But this was caveated by it saying, “Although all members agreed that this would reduce downside risks, they placed different weights on the degree to which this was also expected to lead to stronger GDP growth in the central case.” So, while vaccine</w:t>
      </w:r>
      <w:r>
        <w:rPr>
          <w:rFonts w:eastAsia="Arial" w:cs="Arial"/>
          <w:bCs/>
          <w:color w:val="0D0D0D" w:themeColor="text1" w:themeTint="F2"/>
          <w:lang w:val="en-AU"/>
        </w:rPr>
        <w:t>s are</w:t>
      </w:r>
      <w:r w:rsidRPr="00E94354">
        <w:rPr>
          <w:rFonts w:eastAsia="Arial" w:cs="Arial"/>
          <w:bCs/>
          <w:color w:val="0D0D0D" w:themeColor="text1" w:themeTint="F2"/>
          <w:lang w:val="en-AU"/>
        </w:rPr>
        <w:t xml:space="preserve"> a positive development, in the eyes of the MPC at least, the economy is far from out of the woods</w:t>
      </w:r>
      <w:r>
        <w:rPr>
          <w:rFonts w:eastAsia="Arial" w:cs="Arial"/>
          <w:bCs/>
          <w:color w:val="0D0D0D" w:themeColor="text1" w:themeTint="F2"/>
          <w:lang w:val="en-AU"/>
        </w:rPr>
        <w:t xml:space="preserve"> in the shorter term</w:t>
      </w:r>
      <w:r w:rsidRPr="00E94354">
        <w:rPr>
          <w:rFonts w:eastAsia="Arial" w:cs="Arial"/>
          <w:bCs/>
          <w:color w:val="0D0D0D" w:themeColor="text1" w:themeTint="F2"/>
          <w:lang w:val="en-AU"/>
        </w:rPr>
        <w:t>. </w:t>
      </w:r>
      <w:r>
        <w:rPr>
          <w:rFonts w:eastAsia="Arial" w:cs="Arial"/>
          <w:bCs/>
          <w:color w:val="0D0D0D" w:themeColor="text1" w:themeTint="F2"/>
          <w:lang w:val="en-AU"/>
        </w:rPr>
        <w:t>T</w:t>
      </w:r>
      <w:r w:rsidRPr="00E94354">
        <w:rPr>
          <w:rFonts w:eastAsia="Arial" w:cs="Arial"/>
          <w:bCs/>
          <w:color w:val="0D0D0D" w:themeColor="text1" w:themeTint="F2"/>
          <w:lang w:val="en-AU"/>
        </w:rPr>
        <w:t>he MPC</w:t>
      </w:r>
      <w:r>
        <w:rPr>
          <w:rFonts w:eastAsia="Arial" w:cs="Arial"/>
          <w:bCs/>
          <w:color w:val="0D0D0D" w:themeColor="text1" w:themeTint="F2"/>
          <w:lang w:val="en-AU"/>
        </w:rPr>
        <w:t>,</w:t>
      </w:r>
      <w:r w:rsidRPr="00E94354">
        <w:rPr>
          <w:rFonts w:eastAsia="Arial" w:cs="Arial"/>
          <w:bCs/>
          <w:color w:val="0D0D0D" w:themeColor="text1" w:themeTint="F2"/>
          <w:lang w:val="en-AU"/>
        </w:rPr>
        <w:t xml:space="preserve"> </w:t>
      </w:r>
      <w:r>
        <w:rPr>
          <w:rFonts w:eastAsia="Arial" w:cs="Arial"/>
          <w:bCs/>
          <w:color w:val="0D0D0D" w:themeColor="text1" w:themeTint="F2"/>
          <w:lang w:val="en-AU"/>
        </w:rPr>
        <w:t xml:space="preserve">therefore, </w:t>
      </w:r>
      <w:r w:rsidRPr="00E94354">
        <w:rPr>
          <w:rFonts w:eastAsia="Arial" w:cs="Arial"/>
          <w:bCs/>
          <w:color w:val="0D0D0D" w:themeColor="text1" w:themeTint="F2"/>
          <w:lang w:val="en-AU"/>
        </w:rPr>
        <w:t>voted to extend the availability of the Term Funding Scheme, (cheap borrowing), with additional incentives for small and medium size enterprises for six months from 30</w:t>
      </w:r>
      <w:r>
        <w:rPr>
          <w:rFonts w:eastAsia="Arial" w:cs="Arial"/>
          <w:bCs/>
          <w:color w:val="0D0D0D" w:themeColor="text1" w:themeTint="F2"/>
          <w:lang w:val="en-AU"/>
        </w:rPr>
        <w:t>.4.21</w:t>
      </w:r>
      <w:r w:rsidRPr="00E94354">
        <w:rPr>
          <w:rFonts w:eastAsia="Arial" w:cs="Arial"/>
          <w:bCs/>
          <w:color w:val="0D0D0D" w:themeColor="text1" w:themeTint="F2"/>
          <w:lang w:val="en-AU"/>
        </w:rPr>
        <w:t xml:space="preserve"> until 31</w:t>
      </w:r>
      <w:r>
        <w:rPr>
          <w:rFonts w:eastAsia="Arial" w:cs="Arial"/>
          <w:bCs/>
          <w:color w:val="0D0D0D" w:themeColor="text1" w:themeTint="F2"/>
          <w:lang w:val="en-AU"/>
        </w:rPr>
        <w:t>.10.21.</w:t>
      </w:r>
      <w:r w:rsidRPr="00E94354">
        <w:rPr>
          <w:rFonts w:eastAsia="Arial" w:cs="Arial"/>
          <w:bCs/>
          <w:color w:val="0D0D0D" w:themeColor="text1" w:themeTint="F2"/>
          <w:lang w:val="en-AU"/>
        </w:rPr>
        <w:t xml:space="preserve"> (The MPC had assumed that a Brexit deal would be agreed.)</w:t>
      </w:r>
    </w:p>
    <w:p w14:paraId="3565B06A" w14:textId="77777777" w:rsidR="0018443E" w:rsidRPr="00E94354" w:rsidRDefault="0018443E" w:rsidP="0018443E">
      <w:pPr>
        <w:jc w:val="both"/>
        <w:rPr>
          <w:rFonts w:eastAsia="Arial" w:cs="Arial"/>
          <w:bCs/>
          <w:color w:val="0D0D0D" w:themeColor="text1" w:themeTint="F2"/>
          <w:sz w:val="22"/>
          <w:szCs w:val="22"/>
          <w:lang w:val="en-AU"/>
        </w:rPr>
      </w:pPr>
    </w:p>
    <w:p w14:paraId="192D91AD" w14:textId="77777777" w:rsidR="0018443E" w:rsidRPr="00E94354" w:rsidRDefault="0018443E" w:rsidP="009E715C">
      <w:pPr>
        <w:pStyle w:val="ListParagraph"/>
        <w:numPr>
          <w:ilvl w:val="0"/>
          <w:numId w:val="56"/>
        </w:numPr>
        <w:ind w:left="360"/>
        <w:jc w:val="both"/>
        <w:rPr>
          <w:rFonts w:eastAsia="Arial" w:cs="Arial"/>
          <w:bCs/>
          <w:color w:val="0D0D0D" w:themeColor="text1" w:themeTint="F2"/>
          <w:lang w:val="en-AU"/>
        </w:rPr>
      </w:pPr>
      <w:r w:rsidRPr="00E94354">
        <w:rPr>
          <w:rFonts w:eastAsia="Arial" w:cs="Arial"/>
          <w:b/>
          <w:bCs/>
          <w:color w:val="0D0D0D" w:themeColor="text1" w:themeTint="F2"/>
          <w:lang w:val="en-AU"/>
        </w:rPr>
        <w:t>Fiscal policy.</w:t>
      </w:r>
      <w:r w:rsidRPr="00E94354">
        <w:rPr>
          <w:rFonts w:eastAsia="Arial" w:cs="Arial"/>
          <w:bCs/>
          <w:color w:val="0D0D0D" w:themeColor="text1" w:themeTint="F2"/>
          <w:lang w:val="en-AU"/>
        </w:rPr>
        <w:t xml:space="preserve"> In the same week as the MPC meeting, the Chancellor made a series of announcements to provide further support to the economy: - </w:t>
      </w:r>
    </w:p>
    <w:p w14:paraId="043A520C" w14:textId="77777777" w:rsidR="0018443E" w:rsidRPr="00E94354" w:rsidRDefault="0018443E" w:rsidP="009E715C">
      <w:pPr>
        <w:pStyle w:val="ListParagraph"/>
        <w:numPr>
          <w:ilvl w:val="0"/>
          <w:numId w:val="56"/>
        </w:numPr>
        <w:contextualSpacing/>
        <w:jc w:val="both"/>
        <w:rPr>
          <w:rFonts w:eastAsia="Arial" w:cs="Arial"/>
          <w:bCs/>
          <w:color w:val="0D0D0D" w:themeColor="text1" w:themeTint="F2"/>
          <w:lang w:val="en-AU"/>
        </w:rPr>
      </w:pPr>
      <w:r w:rsidRPr="00E94354">
        <w:rPr>
          <w:rFonts w:eastAsia="Arial" w:cs="Arial"/>
          <w:bCs/>
          <w:color w:val="0D0D0D" w:themeColor="text1" w:themeTint="F2"/>
          <w:lang w:val="en-AU"/>
        </w:rPr>
        <w:t xml:space="preserve">An extension of the COVID-19 loan schemes from the end of January 2021 to the end of March. </w:t>
      </w:r>
    </w:p>
    <w:p w14:paraId="4C6A52AD" w14:textId="77777777" w:rsidR="0018443E" w:rsidRPr="00E94354" w:rsidRDefault="0018443E" w:rsidP="009E715C">
      <w:pPr>
        <w:pStyle w:val="ListParagraph"/>
        <w:numPr>
          <w:ilvl w:val="0"/>
          <w:numId w:val="56"/>
        </w:numPr>
        <w:contextualSpacing/>
        <w:jc w:val="both"/>
        <w:rPr>
          <w:rFonts w:eastAsia="Arial" w:cs="Arial"/>
          <w:bCs/>
          <w:color w:val="0D0D0D" w:themeColor="text1" w:themeTint="F2"/>
          <w:lang w:val="en-AU"/>
        </w:rPr>
      </w:pPr>
      <w:r w:rsidRPr="00E94354">
        <w:rPr>
          <w:rFonts w:eastAsia="Arial" w:cs="Arial"/>
          <w:bCs/>
          <w:color w:val="0D0D0D" w:themeColor="text1" w:themeTint="F2"/>
          <w:lang w:val="en-AU"/>
        </w:rPr>
        <w:t>The furlough scheme was lengthened from the end of March to the end of April.</w:t>
      </w:r>
    </w:p>
    <w:p w14:paraId="25F29928" w14:textId="77777777" w:rsidR="0018443E" w:rsidRPr="00E94354" w:rsidRDefault="0018443E" w:rsidP="009E715C">
      <w:pPr>
        <w:pStyle w:val="ListParagraph"/>
        <w:numPr>
          <w:ilvl w:val="0"/>
          <w:numId w:val="56"/>
        </w:numPr>
        <w:contextualSpacing/>
        <w:jc w:val="both"/>
        <w:rPr>
          <w:rFonts w:eastAsia="Arial" w:cs="Arial"/>
          <w:bCs/>
          <w:color w:val="0D0D0D" w:themeColor="text1" w:themeTint="F2"/>
          <w:lang w:val="en-AU"/>
        </w:rPr>
      </w:pPr>
      <w:r w:rsidRPr="00E94354">
        <w:rPr>
          <w:rFonts w:eastAsia="Arial" w:cs="Arial"/>
          <w:bCs/>
          <w:color w:val="0D0D0D" w:themeColor="text1" w:themeTint="F2"/>
          <w:lang w:val="en-AU"/>
        </w:rPr>
        <w:t xml:space="preserve">The Budget on </w:t>
      </w:r>
      <w:r>
        <w:rPr>
          <w:rFonts w:eastAsia="Arial" w:cs="Arial"/>
          <w:bCs/>
          <w:color w:val="0D0D0D" w:themeColor="text1" w:themeTint="F2"/>
          <w:lang w:val="en-AU"/>
        </w:rPr>
        <w:t>3.3.21</w:t>
      </w:r>
      <w:r w:rsidRPr="00E94354">
        <w:rPr>
          <w:rFonts w:eastAsia="Arial" w:cs="Arial"/>
          <w:bCs/>
          <w:color w:val="0D0D0D" w:themeColor="text1" w:themeTint="F2"/>
          <w:lang w:val="en-AU"/>
        </w:rPr>
        <w:t xml:space="preserve"> will lay out the “next phase of the plan to tackle the virus and protect jobs”. This does not sound like tax rises are imminent, (which could hold back the speed of economic recovery).</w:t>
      </w:r>
    </w:p>
    <w:p w14:paraId="66EA52FE" w14:textId="77777777" w:rsidR="0018443E" w:rsidRPr="00E94354" w:rsidRDefault="0018443E" w:rsidP="0018443E">
      <w:pPr>
        <w:jc w:val="both"/>
        <w:rPr>
          <w:rFonts w:eastAsia="Arial" w:cs="Arial"/>
          <w:bCs/>
          <w:color w:val="0D0D0D" w:themeColor="text1" w:themeTint="F2"/>
          <w:sz w:val="22"/>
          <w:szCs w:val="22"/>
          <w:lang w:val="en-AU"/>
        </w:rPr>
      </w:pPr>
    </w:p>
    <w:p w14:paraId="467ED4B5" w14:textId="77777777" w:rsidR="0018443E" w:rsidRPr="00E94354" w:rsidRDefault="0018443E" w:rsidP="009E715C">
      <w:pPr>
        <w:pStyle w:val="ListParagraph"/>
        <w:numPr>
          <w:ilvl w:val="0"/>
          <w:numId w:val="54"/>
        </w:numPr>
        <w:ind w:left="360"/>
        <w:jc w:val="both"/>
        <w:rPr>
          <w:rFonts w:eastAsia="Arial" w:cs="Arial"/>
          <w:bCs/>
          <w:color w:val="0D0D0D" w:themeColor="text1" w:themeTint="F2"/>
          <w:lang w:val="en-AU"/>
        </w:rPr>
      </w:pPr>
      <w:r w:rsidRPr="00E94354">
        <w:rPr>
          <w:rFonts w:eastAsia="Arial" w:cs="Arial"/>
          <w:bCs/>
          <w:color w:val="0D0D0D" w:themeColor="text1" w:themeTint="F2"/>
          <w:lang w:val="en-AU"/>
        </w:rPr>
        <w:t xml:space="preserve">The </w:t>
      </w:r>
      <w:r w:rsidRPr="00E94354">
        <w:rPr>
          <w:rFonts w:eastAsia="Arial" w:cs="Arial"/>
          <w:b/>
          <w:bCs/>
          <w:color w:val="0D0D0D" w:themeColor="text1" w:themeTint="F2"/>
          <w:lang w:val="en-AU"/>
        </w:rPr>
        <w:t>Financial Policy Committee</w:t>
      </w:r>
      <w:r w:rsidRPr="00E94354">
        <w:rPr>
          <w:rFonts w:eastAsia="Arial" w:cs="Arial"/>
          <w:bCs/>
          <w:color w:val="0D0D0D" w:themeColor="text1" w:themeTint="F2"/>
          <w:lang w:val="en-AU"/>
        </w:rPr>
        <w:t xml:space="preserve"> (FPC) report on 6</w:t>
      </w:r>
      <w:r>
        <w:rPr>
          <w:rFonts w:eastAsia="Arial" w:cs="Arial"/>
          <w:bCs/>
          <w:color w:val="0D0D0D" w:themeColor="text1" w:themeTint="F2"/>
          <w:lang w:val="en-AU"/>
        </w:rPr>
        <w:t>.8.20</w:t>
      </w:r>
      <w:r w:rsidRPr="00E94354">
        <w:rPr>
          <w:rFonts w:eastAsia="Arial" w:cs="Arial"/>
          <w:bCs/>
          <w:color w:val="0D0D0D" w:themeColor="text1" w:themeTint="F2"/>
          <w:lang w:val="en-AU"/>
        </w:rPr>
        <w:t xml:space="preserve"> revised down their expected credit losses for the banking sector to “somewhat less than £80bn”. It stated that in its assessment, “banks have buffers of capital more than sufficient to absorb the losses that are likely to arise under the MPC’s central projection”. The FPC stated that for real stress in the sector, the economic output would need to be twice as bad as the MPC’s projection, with unemployment rising to above 15%. </w:t>
      </w:r>
    </w:p>
    <w:p w14:paraId="0AB2F5F4" w14:textId="77777777" w:rsidR="0018443E" w:rsidRPr="00E94354" w:rsidRDefault="0018443E" w:rsidP="0018443E">
      <w:pPr>
        <w:jc w:val="both"/>
        <w:rPr>
          <w:rFonts w:eastAsia="Arial" w:cs="Arial"/>
          <w:b/>
          <w:bCs/>
          <w:color w:val="0D0D0D" w:themeColor="text1" w:themeTint="F2"/>
          <w:sz w:val="22"/>
          <w:szCs w:val="22"/>
          <w:lang w:val="en-AU"/>
        </w:rPr>
      </w:pPr>
    </w:p>
    <w:p w14:paraId="0E924F16" w14:textId="77777777" w:rsidR="0018443E" w:rsidRPr="00E94354" w:rsidRDefault="0018443E" w:rsidP="009E715C">
      <w:pPr>
        <w:pStyle w:val="ListParagraph"/>
        <w:numPr>
          <w:ilvl w:val="0"/>
          <w:numId w:val="54"/>
        </w:numPr>
        <w:ind w:left="360"/>
        <w:jc w:val="both"/>
        <w:rPr>
          <w:rFonts w:eastAsia="Arial" w:cs="Arial"/>
          <w:color w:val="0D0D0D"/>
          <w:lang w:val="en-AU"/>
        </w:rPr>
      </w:pPr>
      <w:r w:rsidRPr="00E94354">
        <w:rPr>
          <w:rFonts w:eastAsia="Arial" w:cs="Arial"/>
          <w:b/>
          <w:bCs/>
          <w:color w:val="0D0D0D" w:themeColor="text1" w:themeTint="F2"/>
          <w:lang w:val="en-AU"/>
        </w:rPr>
        <w:t xml:space="preserve">US. </w:t>
      </w:r>
      <w:r>
        <w:rPr>
          <w:rFonts w:eastAsia="Arial" w:cs="Arial"/>
          <w:color w:val="0D0D0D"/>
          <w:lang w:val="en-AU"/>
        </w:rPr>
        <w:t>T</w:t>
      </w:r>
      <w:r w:rsidRPr="00E94354">
        <w:rPr>
          <w:rFonts w:eastAsia="Arial" w:cs="Arial"/>
          <w:color w:val="0D0D0D"/>
          <w:lang w:val="en-AU"/>
        </w:rPr>
        <w:t>he Democrats gained the presidency and a majority in the House of Representatives</w:t>
      </w:r>
      <w:r>
        <w:rPr>
          <w:rFonts w:eastAsia="Arial" w:cs="Arial"/>
          <w:color w:val="0D0D0D"/>
          <w:lang w:val="en-AU"/>
        </w:rPr>
        <w:t xml:space="preserve"> in the November elections: after winning </w:t>
      </w:r>
      <w:r w:rsidRPr="00E94354">
        <w:rPr>
          <w:rFonts w:eastAsia="Arial" w:cs="Arial"/>
          <w:color w:val="0D0D0D"/>
          <w:lang w:val="en-AU"/>
        </w:rPr>
        <w:t xml:space="preserve">two key </w:t>
      </w:r>
      <w:r>
        <w:rPr>
          <w:rFonts w:eastAsia="Arial" w:cs="Arial"/>
          <w:color w:val="0D0D0D"/>
          <w:lang w:val="en-AU"/>
        </w:rPr>
        <w:t xml:space="preserve">Senate </w:t>
      </w:r>
      <w:r w:rsidRPr="00E94354">
        <w:rPr>
          <w:rFonts w:eastAsia="Arial" w:cs="Arial"/>
          <w:color w:val="0D0D0D"/>
          <w:lang w:val="en-AU"/>
        </w:rPr>
        <w:t>seats in Georgia in elections in early January</w:t>
      </w:r>
      <w:r>
        <w:rPr>
          <w:rFonts w:eastAsia="Arial" w:cs="Arial"/>
          <w:color w:val="0D0D0D"/>
          <w:lang w:val="en-AU"/>
        </w:rPr>
        <w:t>, they now also have a very slim majority in the Senate due to the vice president’s casting vote</w:t>
      </w:r>
      <w:r w:rsidRPr="00E94354">
        <w:rPr>
          <w:rFonts w:eastAsia="Arial" w:cs="Arial"/>
          <w:color w:val="0D0D0D"/>
          <w:lang w:val="en-AU"/>
        </w:rPr>
        <w:t xml:space="preserve">. President Biden will consequently have a </w:t>
      </w:r>
      <w:r>
        <w:rPr>
          <w:rFonts w:eastAsia="Arial" w:cs="Arial"/>
          <w:color w:val="0D0D0D"/>
          <w:lang w:val="en-AU"/>
        </w:rPr>
        <w:t>much easier path</w:t>
      </w:r>
      <w:r w:rsidRPr="00E94354">
        <w:rPr>
          <w:rFonts w:eastAsia="Arial" w:cs="Arial"/>
          <w:color w:val="0D0D0D"/>
          <w:lang w:val="en-AU"/>
        </w:rPr>
        <w:t xml:space="preserve"> to implement his election manifesto. </w:t>
      </w:r>
      <w:r>
        <w:rPr>
          <w:rFonts w:eastAsia="Arial" w:cs="Arial"/>
          <w:color w:val="0D0D0D"/>
          <w:lang w:val="en-AU"/>
        </w:rPr>
        <w:t xml:space="preserve">However, he will not have a completely free hand as more radical Democrat plans may not be supported by all Democrat </w:t>
      </w:r>
      <w:r>
        <w:rPr>
          <w:rFonts w:eastAsia="Arial" w:cs="Arial"/>
          <w:color w:val="0D0D0D"/>
          <w:lang w:val="en-AU"/>
        </w:rPr>
        <w:lastRenderedPageBreak/>
        <w:t>senators.  His initial radical plan for a fiscal stimulus of $1.9trn, (9% of GDP), is therefore likely to be toned down in order to get through both houses.</w:t>
      </w:r>
    </w:p>
    <w:p w14:paraId="1DF0B05F" w14:textId="77777777" w:rsidR="0018443E" w:rsidRPr="00E94354" w:rsidRDefault="0018443E" w:rsidP="0018443E">
      <w:pPr>
        <w:jc w:val="both"/>
        <w:rPr>
          <w:rFonts w:eastAsia="Arial" w:cs="Arial"/>
          <w:b/>
          <w:bCs/>
          <w:color w:val="0D0D0D" w:themeColor="text1" w:themeTint="F2"/>
          <w:sz w:val="22"/>
          <w:szCs w:val="22"/>
          <w:lang w:val="en-AU"/>
        </w:rPr>
      </w:pPr>
    </w:p>
    <w:p w14:paraId="35AAFAE3" w14:textId="77777777" w:rsidR="0018443E" w:rsidRPr="00E94354" w:rsidRDefault="0018443E" w:rsidP="009E715C">
      <w:pPr>
        <w:pStyle w:val="ListParagraph"/>
        <w:numPr>
          <w:ilvl w:val="0"/>
          <w:numId w:val="54"/>
        </w:numPr>
        <w:ind w:left="360"/>
        <w:jc w:val="both"/>
        <w:rPr>
          <w:rFonts w:eastAsia="Arial" w:cs="Arial"/>
          <w:bCs/>
          <w:color w:val="0D0D0D" w:themeColor="text1" w:themeTint="F2"/>
        </w:rPr>
      </w:pPr>
      <w:r w:rsidRPr="00E94354">
        <w:rPr>
          <w:rFonts w:eastAsia="Arial" w:cs="Arial"/>
          <w:b/>
          <w:bCs/>
          <w:color w:val="0D0D0D" w:themeColor="text1" w:themeTint="F2"/>
          <w:lang w:val="en-AU"/>
        </w:rPr>
        <w:t>The economy</w:t>
      </w:r>
      <w:r w:rsidRPr="00E94354">
        <w:rPr>
          <w:rFonts w:eastAsia="Arial" w:cs="Arial"/>
          <w:bCs/>
          <w:color w:val="0D0D0D" w:themeColor="text1" w:themeTint="F2"/>
          <w:lang w:val="en-AU"/>
        </w:rPr>
        <w:t xml:space="preserve"> had been recovering quite strongly from its contraction in 2020 of 10.2% due to the pandemic</w:t>
      </w:r>
      <w:r w:rsidRPr="00E94354">
        <w:rPr>
          <w:rFonts w:eastAsia="Arial" w:cs="Arial"/>
          <w:b/>
          <w:bCs/>
          <w:color w:val="0D0D0D" w:themeColor="text1" w:themeTint="F2"/>
          <w:lang w:val="en-AU"/>
        </w:rPr>
        <w:t xml:space="preserve"> </w:t>
      </w:r>
      <w:r w:rsidRPr="00E94354">
        <w:rPr>
          <w:rFonts w:eastAsia="Arial" w:cs="Arial"/>
          <w:bCs/>
          <w:color w:val="0D0D0D" w:themeColor="text1" w:themeTint="F2"/>
          <w:lang w:val="en-AU"/>
        </w:rPr>
        <w:t>w</w:t>
      </w:r>
      <w:r w:rsidRPr="00E94354">
        <w:rPr>
          <w:rFonts w:eastAsia="Arial" w:cs="Arial"/>
          <w:bCs/>
          <w:color w:val="0D0D0D" w:themeColor="text1" w:themeTint="F2"/>
        </w:rPr>
        <w:t xml:space="preserve">ith GDP only 3.5% below its pre-pandemic level and the unemployment rate dropping below 7%. </w:t>
      </w:r>
      <w:r w:rsidRPr="00E94354">
        <w:rPr>
          <w:rFonts w:eastAsia="Arial" w:cs="Arial"/>
          <w:bCs/>
          <w:color w:val="0D0D0D" w:themeColor="text1" w:themeTint="F2"/>
          <w:lang w:val="en-AU"/>
        </w:rPr>
        <w:t>However, t</w:t>
      </w:r>
      <w:r w:rsidRPr="00E94354">
        <w:rPr>
          <w:rFonts w:eastAsia="Arial" w:cs="Arial"/>
          <w:bCs/>
          <w:color w:val="0D0D0D" w:themeColor="text1" w:themeTint="F2"/>
        </w:rPr>
        <w:t xml:space="preserve">he rise in new cases during quarter 4, to the highest level since mid-August, suggests that the US could be in the early stages of a fourth wave. The latest upturn poses a threat that the recovery in the economy could stall. This is </w:t>
      </w:r>
      <w:r w:rsidRPr="00E94354">
        <w:rPr>
          <w:rFonts w:eastAsia="Arial" w:cs="Arial"/>
          <w:b/>
          <w:bCs/>
          <w:color w:val="0D0D0D" w:themeColor="text1" w:themeTint="F2"/>
        </w:rPr>
        <w:t>the single biggest downside risk</w:t>
      </w:r>
      <w:r w:rsidRPr="00E94354">
        <w:rPr>
          <w:rFonts w:eastAsia="Arial" w:cs="Arial"/>
          <w:bCs/>
          <w:color w:val="0D0D0D" w:themeColor="text1" w:themeTint="F2"/>
        </w:rPr>
        <w:t xml:space="preserve"> to the shorter term outlook – a more widespread and severe wave of infections over the winter months, which is compounded by the impact of the regular flu season and, as a consequence, threatens to overwhelm health care facilities. Under those circumstances, </w:t>
      </w:r>
      <w:r>
        <w:rPr>
          <w:rFonts w:eastAsia="Arial" w:cs="Arial"/>
          <w:bCs/>
          <w:color w:val="0D0D0D" w:themeColor="text1" w:themeTint="F2"/>
        </w:rPr>
        <w:t xml:space="preserve">individual </w:t>
      </w:r>
      <w:r w:rsidRPr="00E94354">
        <w:rPr>
          <w:rFonts w:eastAsia="Arial" w:cs="Arial"/>
          <w:bCs/>
          <w:color w:val="0D0D0D" w:themeColor="text1" w:themeTint="F2"/>
        </w:rPr>
        <w:t>states might feel it necessary to return to more draconian lockdowns.</w:t>
      </w:r>
    </w:p>
    <w:p w14:paraId="7B67B027" w14:textId="77777777" w:rsidR="0018443E" w:rsidRPr="00E94354" w:rsidRDefault="0018443E" w:rsidP="0018443E">
      <w:pPr>
        <w:ind w:left="360" w:hanging="360"/>
        <w:jc w:val="both"/>
        <w:rPr>
          <w:rFonts w:eastAsia="Arial" w:cs="Arial"/>
          <w:bCs/>
          <w:color w:val="0D0D0D" w:themeColor="text1" w:themeTint="F2"/>
          <w:sz w:val="22"/>
          <w:szCs w:val="22"/>
          <w:lang w:val="en-AU"/>
        </w:rPr>
      </w:pPr>
    </w:p>
    <w:p w14:paraId="53DDB244" w14:textId="77777777" w:rsidR="0018443E" w:rsidRPr="00E94354" w:rsidRDefault="0018443E" w:rsidP="009E715C">
      <w:pPr>
        <w:pStyle w:val="ListParagraph"/>
        <w:numPr>
          <w:ilvl w:val="0"/>
          <w:numId w:val="54"/>
        </w:numPr>
        <w:ind w:left="360"/>
        <w:jc w:val="both"/>
        <w:rPr>
          <w:rFonts w:eastAsia="Arial" w:cs="Arial"/>
          <w:bCs/>
          <w:color w:val="0D0D0D" w:themeColor="text1" w:themeTint="F2"/>
        </w:rPr>
      </w:pPr>
      <w:r w:rsidRPr="00E94354">
        <w:rPr>
          <w:rFonts w:eastAsia="Arial" w:cs="Arial"/>
          <w:bCs/>
          <w:color w:val="0D0D0D" w:themeColor="text1" w:themeTint="F2"/>
        </w:rPr>
        <w:t xml:space="preserve">The restrictions imposed to control the spread of the virus are once again weighing on the economy with employment growth slowing sharply in November and </w:t>
      </w:r>
      <w:r>
        <w:rPr>
          <w:rFonts w:eastAsia="Arial" w:cs="Arial"/>
          <w:bCs/>
          <w:color w:val="0D0D0D" w:themeColor="text1" w:themeTint="F2"/>
        </w:rPr>
        <w:t xml:space="preserve">declining in December, and </w:t>
      </w:r>
      <w:r w:rsidRPr="00E94354">
        <w:rPr>
          <w:rFonts w:eastAsia="Arial" w:cs="Arial"/>
          <w:bCs/>
          <w:color w:val="0D0D0D" w:themeColor="text1" w:themeTint="F2"/>
        </w:rPr>
        <w:t xml:space="preserve">retail sales dropping back. The economy is set for further weakness into the spring. </w:t>
      </w:r>
      <w:r w:rsidRPr="00501DD3">
        <w:rPr>
          <w:rFonts w:eastAsia="Arial" w:cs="Arial"/>
          <w:b/>
          <w:bCs/>
          <w:color w:val="0D0D0D" w:themeColor="text1" w:themeTint="F2"/>
        </w:rPr>
        <w:t>GDP growth</w:t>
      </w:r>
      <w:r w:rsidRPr="00E94354">
        <w:rPr>
          <w:rFonts w:eastAsia="Arial" w:cs="Arial"/>
          <w:bCs/>
          <w:color w:val="0D0D0D" w:themeColor="text1" w:themeTint="F2"/>
        </w:rPr>
        <w:t xml:space="preserve"> is expected to rebound markedly from the second quarter of 2021 onwards as vaccines are rolled out on a widespread basis and restrictions are loosened. </w:t>
      </w:r>
    </w:p>
    <w:p w14:paraId="7B0CBC55" w14:textId="77777777" w:rsidR="0018443E" w:rsidRPr="00E94354" w:rsidRDefault="0018443E" w:rsidP="0018443E">
      <w:pPr>
        <w:ind w:left="360" w:hanging="360"/>
        <w:jc w:val="both"/>
        <w:rPr>
          <w:rFonts w:eastAsia="Arial" w:cs="Arial"/>
          <w:bCs/>
          <w:color w:val="0D0D0D" w:themeColor="text1" w:themeTint="F2"/>
          <w:sz w:val="22"/>
          <w:szCs w:val="22"/>
        </w:rPr>
      </w:pPr>
    </w:p>
    <w:p w14:paraId="32A1FCB8" w14:textId="77777777" w:rsidR="0018443E" w:rsidRPr="00692EA6" w:rsidRDefault="0018443E" w:rsidP="009E715C">
      <w:pPr>
        <w:numPr>
          <w:ilvl w:val="0"/>
          <w:numId w:val="59"/>
        </w:numPr>
        <w:ind w:left="360"/>
        <w:jc w:val="both"/>
        <w:rPr>
          <w:rFonts w:eastAsia="Arial" w:cs="Arial"/>
          <w:bCs/>
          <w:color w:val="0D0D0D" w:themeColor="text1" w:themeTint="F2"/>
          <w:szCs w:val="24"/>
        </w:rPr>
      </w:pPr>
      <w:r w:rsidRPr="00692EA6">
        <w:rPr>
          <w:rFonts w:eastAsia="Arial" w:cs="Arial"/>
          <w:bCs/>
          <w:color w:val="0D0D0D" w:themeColor="text1" w:themeTint="F2"/>
          <w:szCs w:val="24"/>
        </w:rPr>
        <w:t xml:space="preserve">After Chair Jerome Powell unveiled the </w:t>
      </w:r>
      <w:r w:rsidRPr="00692EA6">
        <w:rPr>
          <w:rFonts w:eastAsia="Arial" w:cs="Arial"/>
          <w:b/>
          <w:bCs/>
          <w:color w:val="0D0D0D" w:themeColor="text1" w:themeTint="F2"/>
          <w:szCs w:val="24"/>
        </w:rPr>
        <w:t>Fed's adoption of a flexible average inflation target</w:t>
      </w:r>
      <w:r w:rsidRPr="00692EA6">
        <w:rPr>
          <w:rFonts w:eastAsia="Arial" w:cs="Arial"/>
          <w:bCs/>
          <w:color w:val="0D0D0D" w:themeColor="text1" w:themeTint="F2"/>
          <w:szCs w:val="24"/>
        </w:rPr>
        <w:t xml:space="preserve"> in his Jackson Hole speech in late August 2020, </w:t>
      </w:r>
      <w:r w:rsidRPr="00692EA6">
        <w:rPr>
          <w:rFonts w:eastAsia="Arial" w:cs="Arial"/>
          <w:bCs/>
          <w:color w:val="0D0D0D" w:themeColor="text1" w:themeTint="F2"/>
          <w:szCs w:val="24"/>
          <w:lang w:val="en-AU"/>
        </w:rPr>
        <w:t xml:space="preserve">the mid-September meeting of the Fed </w:t>
      </w:r>
      <w:r w:rsidRPr="00692EA6">
        <w:rPr>
          <w:rFonts w:eastAsia="Arial" w:cs="Arial"/>
          <w:bCs/>
          <w:color w:val="0D0D0D" w:themeColor="text1" w:themeTint="F2"/>
          <w:szCs w:val="24"/>
        </w:rPr>
        <w:t xml:space="preserve">agreed by a majority to a toned down version of the new inflation target in his speech - that </w:t>
      </w:r>
      <w:r w:rsidRPr="00692EA6">
        <w:rPr>
          <w:rFonts w:eastAsia="Arial" w:cs="Arial"/>
          <w:bCs/>
          <w:i/>
          <w:color w:val="0D0D0D" w:themeColor="text1" w:themeTint="F2"/>
          <w:szCs w:val="24"/>
        </w:rPr>
        <w:t xml:space="preserve">"it would likely be appropriate to maintain the current target range until labour market conditions were judged to be consistent with the Committee's assessments of maximum employment and inflation had risen to 2% and was on track to moderately exceed 2% for some time." </w:t>
      </w:r>
      <w:r w:rsidRPr="00692EA6">
        <w:rPr>
          <w:rFonts w:eastAsia="Arial" w:cs="Arial"/>
          <w:bCs/>
          <w:color w:val="0D0D0D" w:themeColor="text1" w:themeTint="F2"/>
          <w:szCs w:val="24"/>
          <w:lang w:val="en-AU"/>
        </w:rPr>
        <w:t xml:space="preserve">This change was aimed to provide more stimulus for economic growth and higher levels of employment and to avoid the danger of getting caught in a deflationary “trap” like Japan. It is to be noted that inflation has actually been under-shooting the 2% target significantly for most of the last decade, (and this year), so financial markets took note that higher levels of inflation are likely to be in the pipeline; long-term bond yields duly rose after the meeting. </w:t>
      </w:r>
      <w:r w:rsidRPr="00692EA6">
        <w:rPr>
          <w:rFonts w:eastAsia="Arial" w:cs="Arial"/>
          <w:bCs/>
          <w:color w:val="0D0D0D" w:themeColor="text1" w:themeTint="F2"/>
          <w:szCs w:val="24"/>
        </w:rPr>
        <w:t xml:space="preserve">The FOMC’s updated economic and rate projections in mid-September showed that officials expect to leave the fed funds rate at near-zero until at least end-2023 and probably for another year or two beyond that. </w:t>
      </w:r>
      <w:r w:rsidRPr="00692EA6">
        <w:rPr>
          <w:rFonts w:eastAsia="Arial" w:cs="Arial"/>
          <w:bCs/>
          <w:color w:val="0D0D0D" w:themeColor="text1" w:themeTint="F2"/>
          <w:szCs w:val="24"/>
          <w:lang w:val="en-AU"/>
        </w:rPr>
        <w:t xml:space="preserve">There is now some expectation that where the Fed has led in changing its inflation target, other major central banks will follow. The increase in tension over the last year between the US and China is likely to lead to a lack of momentum in progressing the initial positive moves to agree a phase one trade deal. </w:t>
      </w:r>
    </w:p>
    <w:p w14:paraId="0B68F1CB" w14:textId="77777777" w:rsidR="0018443E" w:rsidRPr="00692EA6" w:rsidRDefault="0018443E" w:rsidP="0018443E">
      <w:pPr>
        <w:ind w:left="360" w:hanging="360"/>
        <w:jc w:val="both"/>
        <w:rPr>
          <w:rFonts w:eastAsia="Arial" w:cs="Arial"/>
          <w:bCs/>
          <w:color w:val="0D0D0D" w:themeColor="text1" w:themeTint="F2"/>
          <w:szCs w:val="24"/>
        </w:rPr>
      </w:pPr>
    </w:p>
    <w:p w14:paraId="5410AF25" w14:textId="77777777" w:rsidR="0018443E" w:rsidRPr="00692EA6" w:rsidRDefault="0018443E" w:rsidP="009E715C">
      <w:pPr>
        <w:numPr>
          <w:ilvl w:val="0"/>
          <w:numId w:val="59"/>
        </w:numPr>
        <w:ind w:left="360"/>
        <w:jc w:val="both"/>
        <w:rPr>
          <w:rFonts w:eastAsia="Arial" w:cs="Arial"/>
          <w:bCs/>
          <w:color w:val="0D0D0D" w:themeColor="text1" w:themeTint="F2"/>
          <w:szCs w:val="24"/>
          <w:lang w:val="en-AU"/>
        </w:rPr>
      </w:pPr>
      <w:r w:rsidRPr="00692EA6">
        <w:rPr>
          <w:rFonts w:eastAsia="Arial" w:cs="Arial"/>
          <w:bCs/>
          <w:color w:val="0D0D0D" w:themeColor="text1" w:themeTint="F2"/>
          <w:szCs w:val="24"/>
          <w:lang w:val="en-AU"/>
        </w:rPr>
        <w:t xml:space="preserve">The Fed’s meeting on </w:t>
      </w:r>
      <w:r w:rsidRPr="00692EA6">
        <w:rPr>
          <w:rFonts w:eastAsia="Arial" w:cs="Arial"/>
          <w:b/>
          <w:bCs/>
          <w:color w:val="0D0D0D" w:themeColor="text1" w:themeTint="F2"/>
          <w:szCs w:val="24"/>
          <w:lang w:val="en-AU"/>
        </w:rPr>
        <w:t>5 November</w:t>
      </w:r>
      <w:r w:rsidRPr="00692EA6">
        <w:rPr>
          <w:rFonts w:eastAsia="Arial" w:cs="Arial"/>
          <w:bCs/>
          <w:color w:val="0D0D0D" w:themeColor="text1" w:themeTint="F2"/>
          <w:szCs w:val="24"/>
          <w:lang w:val="en-AU"/>
        </w:rPr>
        <w:t xml:space="preserve"> was unremarkable - but at a politically sensitive time around the elections. At its </w:t>
      </w:r>
      <w:r w:rsidRPr="00692EA6">
        <w:rPr>
          <w:rFonts w:eastAsia="Arial" w:cs="Arial"/>
          <w:b/>
          <w:bCs/>
          <w:color w:val="0D0D0D" w:themeColor="text1" w:themeTint="F2"/>
          <w:szCs w:val="24"/>
          <w:lang w:val="en-AU"/>
        </w:rPr>
        <w:t>16 December</w:t>
      </w:r>
      <w:r w:rsidRPr="00692EA6">
        <w:rPr>
          <w:rFonts w:eastAsia="Arial" w:cs="Arial"/>
          <w:bCs/>
          <w:color w:val="0D0D0D" w:themeColor="text1" w:themeTint="F2"/>
          <w:szCs w:val="24"/>
          <w:lang w:val="en-AU"/>
        </w:rPr>
        <w:t xml:space="preserve"> </w:t>
      </w:r>
      <w:r w:rsidRPr="00692EA6">
        <w:rPr>
          <w:rFonts w:eastAsia="Arial" w:cs="Arial"/>
          <w:bCs/>
          <w:color w:val="0D0D0D" w:themeColor="text1" w:themeTint="F2"/>
          <w:szCs w:val="24"/>
        </w:rPr>
        <w:t xml:space="preserve">meeting the Fed tweaked the guidance for its monthly asset quantitative easing purchases with the new language implying those purchases could continue for longer than previously believed. Nevertheless, with officials still projecting that </w:t>
      </w:r>
      <w:r w:rsidRPr="00692EA6">
        <w:rPr>
          <w:rFonts w:eastAsia="Arial" w:cs="Arial"/>
          <w:b/>
          <w:bCs/>
          <w:color w:val="0D0D0D" w:themeColor="text1" w:themeTint="F2"/>
          <w:szCs w:val="24"/>
        </w:rPr>
        <w:t xml:space="preserve">inflation </w:t>
      </w:r>
      <w:r w:rsidRPr="00692EA6">
        <w:rPr>
          <w:rFonts w:eastAsia="Arial" w:cs="Arial"/>
          <w:bCs/>
          <w:color w:val="0D0D0D" w:themeColor="text1" w:themeTint="F2"/>
          <w:szCs w:val="24"/>
        </w:rPr>
        <w:t xml:space="preserve">will only get back to 2.0% in 2023, the vast majority expect the Fed funds rate to be still at near-zero until 2024 or later. Furthermore, officials think the balance of risks surrounding that median inflation forecast are </w:t>
      </w:r>
      <w:r w:rsidRPr="00692EA6">
        <w:rPr>
          <w:rFonts w:eastAsia="Arial" w:cs="Arial"/>
          <w:bCs/>
          <w:color w:val="0D0D0D" w:themeColor="text1" w:themeTint="F2"/>
          <w:szCs w:val="24"/>
        </w:rPr>
        <w:lastRenderedPageBreak/>
        <w:t>firmly skewed to the downside. The key message is still that policy will remain unusually accommodative – with near-zero rates and asset purchases – continuing for several more years. This is likely to result in keeping Treasury yields low – which will also have an influence on gilt yields in this country.</w:t>
      </w:r>
    </w:p>
    <w:p w14:paraId="1F1BF356" w14:textId="77777777" w:rsidR="0018443E" w:rsidRPr="00692EA6" w:rsidRDefault="0018443E" w:rsidP="0018443E">
      <w:pPr>
        <w:ind w:left="360" w:hanging="360"/>
        <w:jc w:val="both"/>
        <w:rPr>
          <w:rFonts w:eastAsia="Arial" w:cs="Arial"/>
          <w:b/>
          <w:bCs/>
          <w:color w:val="0D0D0D" w:themeColor="text1" w:themeTint="F2"/>
          <w:szCs w:val="24"/>
          <w:lang w:val="en-AU"/>
        </w:rPr>
      </w:pPr>
    </w:p>
    <w:p w14:paraId="0E52FC5E" w14:textId="77777777" w:rsidR="0018443E" w:rsidRPr="00692EA6" w:rsidRDefault="0018443E" w:rsidP="009E715C">
      <w:pPr>
        <w:numPr>
          <w:ilvl w:val="0"/>
          <w:numId w:val="57"/>
        </w:numPr>
        <w:ind w:left="360"/>
        <w:jc w:val="both"/>
        <w:rPr>
          <w:rFonts w:eastAsia="Arial" w:cs="Arial"/>
          <w:bCs/>
          <w:color w:val="0D0D0D" w:themeColor="text1" w:themeTint="F2"/>
          <w:szCs w:val="24"/>
        </w:rPr>
      </w:pPr>
      <w:r w:rsidRPr="00692EA6">
        <w:rPr>
          <w:rFonts w:eastAsia="Arial" w:cs="Arial"/>
          <w:b/>
          <w:bCs/>
          <w:color w:val="0D0D0D" w:themeColor="text1" w:themeTint="F2"/>
          <w:szCs w:val="24"/>
          <w:lang w:val="en-AU"/>
        </w:rPr>
        <w:t>EU.</w:t>
      </w:r>
      <w:r w:rsidRPr="00692EA6">
        <w:rPr>
          <w:rFonts w:eastAsia="Arial" w:cs="Arial"/>
          <w:bCs/>
          <w:color w:val="0D0D0D" w:themeColor="text1" w:themeTint="F2"/>
          <w:szCs w:val="24"/>
          <w:lang w:val="en-AU"/>
        </w:rPr>
        <w:t xml:space="preserve"> In early December, the figures for </w:t>
      </w:r>
      <w:r w:rsidRPr="00692EA6">
        <w:rPr>
          <w:rFonts w:eastAsia="Arial" w:cs="Arial"/>
          <w:bCs/>
          <w:color w:val="0D0D0D" w:themeColor="text1" w:themeTint="F2"/>
          <w:szCs w:val="24"/>
        </w:rPr>
        <w:t xml:space="preserve">Q3 GDP confirmed that the economy staged a rapid rebound from the first lockdowns. This provides grounds for optimism about growth prospects for next year. In Q2, GDP was 15% below its pre-pandemic level. But in Q3 the economy grew by 12.5% q/q leaving GDP down by “only” 4.4%. That was much better than had been expected earlier in the year. </w:t>
      </w:r>
      <w:r w:rsidRPr="00692EA6">
        <w:rPr>
          <w:rFonts w:eastAsia="Arial" w:cs="Arial"/>
          <w:bCs/>
          <w:color w:val="0D0D0D" w:themeColor="text1" w:themeTint="F2"/>
          <w:szCs w:val="24"/>
          <w:lang w:val="en-AU"/>
        </w:rPr>
        <w:t xml:space="preserve">However, growth is likely to stagnate during Q4 and in Q1 of 2021, as a second wave of the virus has seriously affected many countries. The €750bn fiscal support package eventually agreed by the EU after prolonged disagreement between various countries, is unlikely to provide significant support, and quickly enough, to make an appreciable difference in the countries most affected by the first wave. </w:t>
      </w:r>
    </w:p>
    <w:p w14:paraId="20A858A0" w14:textId="77777777" w:rsidR="0018443E" w:rsidRPr="00692EA6" w:rsidRDefault="0018443E" w:rsidP="0018443E">
      <w:pPr>
        <w:ind w:left="360" w:hanging="360"/>
        <w:jc w:val="both"/>
        <w:rPr>
          <w:rFonts w:eastAsia="Arial" w:cs="Arial"/>
          <w:bCs/>
          <w:color w:val="0D0D0D" w:themeColor="text1" w:themeTint="F2"/>
          <w:szCs w:val="24"/>
        </w:rPr>
      </w:pPr>
    </w:p>
    <w:p w14:paraId="755CA79F" w14:textId="77777777" w:rsidR="0018443E" w:rsidRPr="00692EA6" w:rsidRDefault="0018443E" w:rsidP="009E715C">
      <w:pPr>
        <w:numPr>
          <w:ilvl w:val="0"/>
          <w:numId w:val="57"/>
        </w:numPr>
        <w:ind w:left="360"/>
        <w:jc w:val="both"/>
        <w:rPr>
          <w:rFonts w:eastAsia="Arial" w:cs="Arial"/>
          <w:bCs/>
          <w:color w:val="0D0D0D" w:themeColor="text1" w:themeTint="F2"/>
          <w:szCs w:val="24"/>
          <w:lang w:val="en-AU"/>
        </w:rPr>
      </w:pPr>
      <w:r w:rsidRPr="00692EA6">
        <w:rPr>
          <w:rFonts w:eastAsia="Arial" w:cs="Arial"/>
          <w:bCs/>
          <w:color w:val="0D0D0D" w:themeColor="text1" w:themeTint="F2"/>
          <w:szCs w:val="24"/>
          <w:lang w:val="en-AU"/>
        </w:rPr>
        <w:t xml:space="preserve">With </w:t>
      </w:r>
      <w:r w:rsidRPr="00692EA6">
        <w:rPr>
          <w:rFonts w:eastAsia="Arial" w:cs="Arial"/>
          <w:b/>
          <w:bCs/>
          <w:color w:val="0D0D0D" w:themeColor="text1" w:themeTint="F2"/>
          <w:szCs w:val="24"/>
          <w:lang w:val="en-AU"/>
        </w:rPr>
        <w:t>inflation</w:t>
      </w:r>
      <w:r w:rsidRPr="00692EA6">
        <w:rPr>
          <w:rFonts w:eastAsia="Arial" w:cs="Arial"/>
          <w:bCs/>
          <w:color w:val="0D0D0D" w:themeColor="text1" w:themeTint="F2"/>
          <w:szCs w:val="24"/>
          <w:lang w:val="en-AU"/>
        </w:rPr>
        <w:t xml:space="preserve"> expected to be unlikely to get much above 1% over the next two years, </w:t>
      </w:r>
      <w:r w:rsidRPr="00692EA6">
        <w:rPr>
          <w:rFonts w:eastAsia="Arial" w:cs="Arial"/>
          <w:b/>
          <w:bCs/>
          <w:color w:val="0D0D0D" w:themeColor="text1" w:themeTint="F2"/>
          <w:szCs w:val="24"/>
          <w:lang w:val="en-AU"/>
        </w:rPr>
        <w:t>the ECB</w:t>
      </w:r>
      <w:r w:rsidRPr="00692EA6">
        <w:rPr>
          <w:rFonts w:eastAsia="Arial" w:cs="Arial"/>
          <w:bCs/>
          <w:color w:val="0D0D0D" w:themeColor="text1" w:themeTint="F2"/>
          <w:szCs w:val="24"/>
          <w:lang w:val="en-AU"/>
        </w:rPr>
        <w:t xml:space="preserve"> has been struggling to get inflation up to its 2% target. It is currently unlikely that it will cut its central rate even further into negative territory from -0.5%, although the ECB has stated that it retains this as a possible tool to use.</w:t>
      </w:r>
      <w:r w:rsidRPr="00692EA6">
        <w:rPr>
          <w:rFonts w:eastAsia="Arial" w:cs="Arial"/>
          <w:bCs/>
          <w:color w:val="0D0D0D" w:themeColor="text1" w:themeTint="F2"/>
          <w:szCs w:val="24"/>
        </w:rPr>
        <w:t xml:space="preserve"> The ECB’s December meeting added a further €500bn to the PEPP scheme, (purchase of government and other bonds), and extended the duration of the programme to March 2022 and re-investing maturities for an additional year until December 2023. Three additional tranches of TLTRO, (cheap loans to banks), were approved, indicating that support will last beyond the impact of the pandemic, implying indirect yield curve control for government bonds for some time ahead. The Bank’s forecast for a return to pre-virus activity levels was pushed back to the end of 2021, but stronger growth is projected in 2022. </w:t>
      </w:r>
      <w:r w:rsidRPr="00692EA6">
        <w:rPr>
          <w:rFonts w:eastAsia="Arial" w:cs="Arial"/>
          <w:bCs/>
          <w:color w:val="0D0D0D" w:themeColor="text1" w:themeTint="F2"/>
          <w:szCs w:val="24"/>
          <w:lang w:val="en-AU"/>
        </w:rPr>
        <w:t xml:space="preserve">The total PEPP scheme of €1,850bn of QE which started in March 2020 is providing protection to the sovereign bond yields of weaker countries like Italy. There is therefore unlikely to be a euro crisis while the ECB is able to maintain this level of support. However, as in the UK and the US, the advent of highly effective vaccines will be a game changer, although growth will struggle before later in quarter 2 of 2021. </w:t>
      </w:r>
    </w:p>
    <w:p w14:paraId="7E97731F" w14:textId="77777777" w:rsidR="0018443E" w:rsidRPr="00692EA6" w:rsidRDefault="0018443E" w:rsidP="0018443E">
      <w:pPr>
        <w:ind w:left="360" w:hanging="360"/>
        <w:jc w:val="both"/>
        <w:rPr>
          <w:rFonts w:eastAsia="Arial" w:cs="Arial"/>
          <w:b/>
          <w:bCs/>
          <w:color w:val="0D0D0D" w:themeColor="text1" w:themeTint="F2"/>
          <w:szCs w:val="24"/>
          <w:lang w:val="en-AU"/>
        </w:rPr>
      </w:pPr>
    </w:p>
    <w:p w14:paraId="13286FEA" w14:textId="77777777" w:rsidR="0018443E" w:rsidRPr="00692EA6" w:rsidRDefault="0018443E" w:rsidP="009E715C">
      <w:pPr>
        <w:pStyle w:val="ListParagraph"/>
        <w:numPr>
          <w:ilvl w:val="0"/>
          <w:numId w:val="57"/>
        </w:numPr>
        <w:ind w:left="360"/>
        <w:jc w:val="both"/>
        <w:rPr>
          <w:rFonts w:eastAsia="Arial" w:cs="Arial"/>
          <w:bCs/>
          <w:color w:val="0D0D0D" w:themeColor="text1" w:themeTint="F2"/>
          <w:szCs w:val="24"/>
          <w:lang w:val="en-AU"/>
        </w:rPr>
      </w:pPr>
      <w:r w:rsidRPr="00692EA6">
        <w:rPr>
          <w:rFonts w:eastAsia="Arial" w:cs="Arial"/>
          <w:b/>
          <w:bCs/>
          <w:color w:val="0D0D0D" w:themeColor="text1" w:themeTint="F2"/>
          <w:szCs w:val="24"/>
          <w:lang w:val="en-AU"/>
        </w:rPr>
        <w:t>China.</w:t>
      </w:r>
      <w:r w:rsidRPr="00692EA6">
        <w:rPr>
          <w:rFonts w:eastAsia="Arial" w:cs="Arial"/>
          <w:bCs/>
          <w:color w:val="0D0D0D" w:themeColor="text1" w:themeTint="F2"/>
          <w:szCs w:val="24"/>
          <w:lang w:val="en-AU"/>
        </w:rPr>
        <w:t xml:space="preserve">  After a concerted effort to get on top of the virus outbreak in Q1, economic recovery was strong in Q2 and then into Q3 and Q4; this has enabled China to recover all of the contraction in Q1. P</w:t>
      </w:r>
      <w:r w:rsidRPr="00692EA6">
        <w:rPr>
          <w:rFonts w:eastAsia="Arial" w:cs="Arial"/>
          <w:bCs/>
          <w:color w:val="0D0D0D" w:themeColor="text1" w:themeTint="F2"/>
          <w:szCs w:val="24"/>
        </w:rPr>
        <w:t xml:space="preserve">olicy makers have both quashed the virus and implemented a programme of monetary and fiscal support that has been particularly effective at stimulating short-term growth. At the same time, China’s economy has benefited from the shift towards online spending by consumers in developed markets. These factors help to explain its comparative outperformance compared to western economies. </w:t>
      </w:r>
      <w:r w:rsidRPr="00692EA6">
        <w:rPr>
          <w:rFonts w:eastAsia="Arial" w:cs="Arial"/>
          <w:bCs/>
          <w:color w:val="0D0D0D" w:themeColor="text1" w:themeTint="F2"/>
          <w:szCs w:val="24"/>
          <w:lang w:val="en-AU"/>
        </w:rPr>
        <w:t>However, this was achieved by major central government funding of yet more infrastructure spending. After years of growth having been focused on this same area, any further spending in this area is likely to lead to increasingly weaker economic returns in the longer term. This could, therefore, lead to a further misallocation of resources which will weigh on growth in future years.</w:t>
      </w:r>
    </w:p>
    <w:p w14:paraId="115A1D08" w14:textId="77777777" w:rsidR="0018443E" w:rsidRPr="00692EA6" w:rsidRDefault="0018443E" w:rsidP="0018443E">
      <w:pPr>
        <w:ind w:left="360" w:hanging="360"/>
        <w:jc w:val="both"/>
        <w:rPr>
          <w:rFonts w:eastAsia="Arial" w:cs="Arial"/>
          <w:b/>
          <w:bCs/>
          <w:color w:val="0D0D0D" w:themeColor="text1" w:themeTint="F2"/>
          <w:szCs w:val="24"/>
          <w:lang w:val="en-AU"/>
        </w:rPr>
      </w:pPr>
    </w:p>
    <w:p w14:paraId="49187826" w14:textId="77777777" w:rsidR="0018443E" w:rsidRPr="00692EA6" w:rsidRDefault="0018443E" w:rsidP="009E715C">
      <w:pPr>
        <w:numPr>
          <w:ilvl w:val="0"/>
          <w:numId w:val="60"/>
        </w:numPr>
        <w:ind w:left="360"/>
        <w:jc w:val="both"/>
        <w:rPr>
          <w:rFonts w:eastAsia="Arial" w:cs="Arial"/>
          <w:bCs/>
          <w:color w:val="0D0D0D" w:themeColor="text1" w:themeTint="F2"/>
          <w:szCs w:val="24"/>
        </w:rPr>
      </w:pPr>
      <w:r w:rsidRPr="00692EA6">
        <w:rPr>
          <w:rFonts w:eastAsia="Arial" w:cs="Arial"/>
          <w:b/>
          <w:bCs/>
          <w:color w:val="0D0D0D" w:themeColor="text1" w:themeTint="F2"/>
          <w:szCs w:val="24"/>
          <w:lang w:val="en-AU"/>
        </w:rPr>
        <w:t>Japan.</w:t>
      </w:r>
      <w:r w:rsidRPr="00692EA6">
        <w:rPr>
          <w:rFonts w:eastAsia="Arial" w:cs="Arial"/>
          <w:bCs/>
          <w:color w:val="0D0D0D" w:themeColor="text1" w:themeTint="F2"/>
          <w:szCs w:val="24"/>
          <w:lang w:val="en-AU"/>
        </w:rPr>
        <w:t xml:space="preserve"> A </w:t>
      </w:r>
      <w:r w:rsidRPr="00692EA6">
        <w:rPr>
          <w:rFonts w:eastAsia="Arial" w:cs="Arial"/>
          <w:bCs/>
          <w:color w:val="0D0D0D" w:themeColor="text1" w:themeTint="F2"/>
          <w:szCs w:val="24"/>
        </w:rPr>
        <w:t>third round of fiscal stimulus in early December took total fresh fiscal spending this year in response to the virus close to 12% of pre-virus GDP. That’s huge by past standards, and one of the largest national fiscal responses. The budget deficit is now likely to reach 16% of GDP this year. Coupled with Japan’s relative success in containing the virus without draconian measures so far, and the likelihood of effective vaccines being available in the coming months, the government’s latest fiscal effort should help ensure a strong recovery and to get back to pre-virus levels by Q3 2021 – around the same time as the US and much sooner than the Eurozone.</w:t>
      </w:r>
    </w:p>
    <w:p w14:paraId="4AC62524" w14:textId="77777777" w:rsidR="0018443E" w:rsidRPr="00692EA6" w:rsidRDefault="0018443E" w:rsidP="0018443E">
      <w:pPr>
        <w:ind w:left="360" w:hanging="360"/>
        <w:jc w:val="both"/>
        <w:rPr>
          <w:rFonts w:eastAsia="Arial" w:cs="Arial"/>
          <w:b/>
          <w:bCs/>
          <w:color w:val="0D0D0D" w:themeColor="text1" w:themeTint="F2"/>
          <w:szCs w:val="24"/>
          <w:lang w:val="en-AU"/>
        </w:rPr>
      </w:pPr>
    </w:p>
    <w:p w14:paraId="2E8BC007" w14:textId="77777777" w:rsidR="0018443E" w:rsidRPr="00692EA6" w:rsidRDefault="0018443E" w:rsidP="009E715C">
      <w:pPr>
        <w:pStyle w:val="ListParagraph"/>
        <w:numPr>
          <w:ilvl w:val="0"/>
          <w:numId w:val="61"/>
        </w:numPr>
        <w:ind w:left="360"/>
        <w:jc w:val="both"/>
        <w:rPr>
          <w:rFonts w:eastAsia="Arial" w:cs="Arial"/>
          <w:bCs/>
          <w:color w:val="0D0D0D" w:themeColor="text1" w:themeTint="F2"/>
          <w:szCs w:val="24"/>
        </w:rPr>
      </w:pPr>
      <w:r w:rsidRPr="00692EA6">
        <w:rPr>
          <w:rFonts w:eastAsia="Arial" w:cs="Arial"/>
          <w:b/>
          <w:bCs/>
          <w:color w:val="0D0D0D" w:themeColor="text1" w:themeTint="F2"/>
          <w:szCs w:val="24"/>
          <w:lang w:val="en-AU"/>
        </w:rPr>
        <w:t>World growth.</w:t>
      </w:r>
      <w:r w:rsidRPr="00692EA6">
        <w:rPr>
          <w:rFonts w:eastAsia="Arial" w:cs="Arial"/>
          <w:bCs/>
          <w:color w:val="0D0D0D" w:themeColor="text1" w:themeTint="F2"/>
          <w:szCs w:val="24"/>
          <w:lang w:val="en-AU"/>
        </w:rPr>
        <w:t xml:space="preserve"> World growth will has been in recession in 2020 and this is likely to continue into the first half of 2021 before recovery in the second half. Inflation is unlikely to be a problem for some years due to the creation of excess production capacity and depressed demand caused by the coronavirus crisis.</w:t>
      </w:r>
    </w:p>
    <w:p w14:paraId="4252A03D" w14:textId="77777777" w:rsidR="0018443E" w:rsidRPr="00692EA6" w:rsidRDefault="0018443E" w:rsidP="0018443E">
      <w:pPr>
        <w:numPr>
          <w:ilvl w:val="12"/>
          <w:numId w:val="0"/>
        </w:numPr>
        <w:tabs>
          <w:tab w:val="num" w:pos="1701"/>
        </w:tabs>
        <w:ind w:left="360" w:hanging="360"/>
        <w:jc w:val="both"/>
        <w:rPr>
          <w:rFonts w:eastAsia="Arial" w:cs="Arial"/>
          <w:bCs/>
          <w:color w:val="1D1B11"/>
          <w:szCs w:val="24"/>
        </w:rPr>
      </w:pPr>
    </w:p>
    <w:p w14:paraId="76DA19E0" w14:textId="77777777" w:rsidR="0018443E" w:rsidRPr="00692EA6" w:rsidRDefault="0018443E" w:rsidP="009E715C">
      <w:pPr>
        <w:pStyle w:val="ListParagraph"/>
        <w:numPr>
          <w:ilvl w:val="0"/>
          <w:numId w:val="61"/>
        </w:numPr>
        <w:tabs>
          <w:tab w:val="num" w:pos="1701"/>
        </w:tabs>
        <w:ind w:left="360"/>
        <w:jc w:val="both"/>
        <w:rPr>
          <w:rFonts w:eastAsia="Arial" w:cs="Arial"/>
          <w:bCs/>
          <w:color w:val="1D1B11"/>
          <w:szCs w:val="24"/>
        </w:rPr>
      </w:pPr>
      <w:r w:rsidRPr="00692EA6">
        <w:rPr>
          <w:rFonts w:eastAsia="Arial" w:cs="Arial"/>
          <w:bCs/>
          <w:color w:val="1D1B11"/>
          <w:szCs w:val="24"/>
        </w:rPr>
        <w:t xml:space="preserve">Until recent years, world growth has been boosted by increasing </w:t>
      </w:r>
      <w:r w:rsidRPr="00692EA6">
        <w:rPr>
          <w:rFonts w:eastAsia="Arial" w:cs="Arial"/>
          <w:b/>
          <w:bCs/>
          <w:color w:val="1D1B11"/>
          <w:szCs w:val="24"/>
        </w:rPr>
        <w:t>globalisation</w:t>
      </w:r>
      <w:r w:rsidRPr="00692EA6">
        <w:rPr>
          <w:rFonts w:eastAsia="Arial" w:cs="Arial"/>
          <w:bCs/>
          <w:color w:val="1D1B11"/>
          <w:szCs w:val="24"/>
        </w:rPr>
        <w:t xml:space="preserve"> i.e. countries specialising in producing goods and commodities in which they have an economic advantage and which they then trade with the rest of the world.  This has boosted worldwide productivity and growth, and, by lowering costs, has also depressed inflation. However, the rise of China as an economic superpower over the last thirty years, which now accounts for nearly 20% of total world GDP, has unbalanced the world economy. The Chinese government has targeted achieving major world positions in specific key sectors and products, especially high tech areas and production of rare earth minerals used in high tech products.  It is achieving this by massive financial support, (i.e. subsidies), to state owned firms, government directions to other firms, technology theft, restrictions on market access by foreign firms and informal targets for the domestic market share of Chinese producers in the selected sectors. This is regarded as being unfair competition that is putting western firms at an unfair disadvantage or even putting some out of business. It is also regarded with suspicion on the political front as China is an authoritarian country that is not averse to using economic and military power for political advantage. The current trade war between the US and China therefore needs to be seen against that backdrop.  It is, therefore, likely that we are heading into a period where there will be a </w:t>
      </w:r>
      <w:r w:rsidRPr="00692EA6">
        <w:rPr>
          <w:rFonts w:eastAsia="Arial" w:cs="Arial"/>
          <w:b/>
          <w:bCs/>
          <w:color w:val="1D1B11"/>
          <w:szCs w:val="24"/>
        </w:rPr>
        <w:t>reversal of world globalisation and a decoupling of western countries</w:t>
      </w:r>
      <w:r w:rsidRPr="00692EA6">
        <w:rPr>
          <w:rFonts w:eastAsia="Arial" w:cs="Arial"/>
          <w:bCs/>
          <w:color w:val="1D1B11"/>
          <w:szCs w:val="24"/>
        </w:rPr>
        <w:t xml:space="preserve"> from dependence on China to supply products.  This is likely to produce a backdrop in the coming years of weak global growth and so weak inflation.  </w:t>
      </w:r>
    </w:p>
    <w:p w14:paraId="281F9EC9" w14:textId="77777777" w:rsidR="0018443E" w:rsidRPr="00692EA6" w:rsidRDefault="0018443E" w:rsidP="0018443E">
      <w:pPr>
        <w:numPr>
          <w:ilvl w:val="12"/>
          <w:numId w:val="0"/>
        </w:numPr>
        <w:tabs>
          <w:tab w:val="num" w:pos="1701"/>
        </w:tabs>
        <w:jc w:val="both"/>
        <w:rPr>
          <w:rFonts w:eastAsia="Arial" w:cs="Arial"/>
          <w:b/>
          <w:bCs/>
          <w:color w:val="1D1B11"/>
          <w:szCs w:val="24"/>
        </w:rPr>
      </w:pPr>
    </w:p>
    <w:p w14:paraId="601B5AF6" w14:textId="77777777" w:rsidR="0018443E" w:rsidRPr="00692EA6" w:rsidRDefault="0018443E" w:rsidP="0018443E">
      <w:pPr>
        <w:numPr>
          <w:ilvl w:val="12"/>
          <w:numId w:val="0"/>
        </w:numPr>
        <w:tabs>
          <w:tab w:val="num" w:pos="1701"/>
        </w:tabs>
        <w:jc w:val="both"/>
        <w:rPr>
          <w:rFonts w:eastAsia="Arial" w:cs="Arial"/>
          <w:b/>
          <w:bCs/>
          <w:color w:val="1D1B11"/>
          <w:szCs w:val="24"/>
        </w:rPr>
      </w:pPr>
      <w:r w:rsidRPr="00692EA6">
        <w:rPr>
          <w:rFonts w:eastAsia="Arial" w:cs="Arial"/>
          <w:b/>
          <w:bCs/>
          <w:color w:val="1D1B11"/>
          <w:szCs w:val="24"/>
        </w:rPr>
        <w:t>Summary</w:t>
      </w:r>
    </w:p>
    <w:p w14:paraId="147D7652" w14:textId="77777777" w:rsidR="0018443E" w:rsidRPr="00692EA6" w:rsidRDefault="0018443E" w:rsidP="0018443E">
      <w:pPr>
        <w:numPr>
          <w:ilvl w:val="12"/>
          <w:numId w:val="0"/>
        </w:numPr>
        <w:tabs>
          <w:tab w:val="num" w:pos="1701"/>
        </w:tabs>
        <w:jc w:val="both"/>
        <w:rPr>
          <w:rFonts w:eastAsia="Arial" w:cs="Arial"/>
          <w:b/>
          <w:bCs/>
          <w:color w:val="1D1B11"/>
          <w:szCs w:val="24"/>
        </w:rPr>
      </w:pPr>
    </w:p>
    <w:p w14:paraId="2C30F14C" w14:textId="77777777" w:rsidR="0018443E" w:rsidRPr="00E724E3" w:rsidRDefault="0018443E" w:rsidP="0018443E">
      <w:pPr>
        <w:numPr>
          <w:ilvl w:val="12"/>
          <w:numId w:val="0"/>
        </w:numPr>
        <w:tabs>
          <w:tab w:val="num" w:pos="1701"/>
        </w:tabs>
        <w:jc w:val="both"/>
        <w:rPr>
          <w:rFonts w:eastAsia="Arial" w:cs="Arial"/>
          <w:color w:val="1D1B11"/>
          <w:szCs w:val="24"/>
        </w:rPr>
      </w:pPr>
      <w:r w:rsidRPr="00E724E3">
        <w:rPr>
          <w:rFonts w:eastAsia="Arial" w:cs="Arial"/>
          <w:color w:val="1D1B11"/>
          <w:szCs w:val="24"/>
        </w:rPr>
        <w:t xml:space="preserve">Central banks are, therefore, likely to support growth by maintaining loose monetary policy through keeping rates very low for longer. Governments could also help a quicker recovery by providing more fiscal support for their economies at a time when total debt is affordable due to the very low rates of interest. They will also need to avoid significant increases in taxation or austerity measures that depress demand and the pace of recovery in their economies. </w:t>
      </w:r>
    </w:p>
    <w:p w14:paraId="6CA5AB5A" w14:textId="77777777" w:rsidR="0018443E" w:rsidRPr="00E724E3" w:rsidRDefault="0018443E" w:rsidP="0018443E">
      <w:pPr>
        <w:numPr>
          <w:ilvl w:val="12"/>
          <w:numId w:val="0"/>
        </w:numPr>
        <w:tabs>
          <w:tab w:val="num" w:pos="1701"/>
        </w:tabs>
        <w:jc w:val="both"/>
        <w:rPr>
          <w:rFonts w:eastAsia="Arial" w:cs="Arial"/>
          <w:color w:val="1D1B11"/>
          <w:szCs w:val="24"/>
        </w:rPr>
      </w:pPr>
    </w:p>
    <w:p w14:paraId="2AAB851F" w14:textId="77777777" w:rsidR="0018443E" w:rsidRPr="00E724E3" w:rsidRDefault="0018443E" w:rsidP="0018443E">
      <w:pPr>
        <w:numPr>
          <w:ilvl w:val="12"/>
          <w:numId w:val="0"/>
        </w:numPr>
        <w:tabs>
          <w:tab w:val="num" w:pos="1701"/>
        </w:tabs>
        <w:jc w:val="both"/>
        <w:rPr>
          <w:rFonts w:eastAsia="Arial" w:cs="Arial"/>
          <w:color w:val="1D1B11"/>
          <w:szCs w:val="24"/>
        </w:rPr>
      </w:pPr>
      <w:r w:rsidRPr="00E724E3">
        <w:rPr>
          <w:rFonts w:eastAsia="Arial" w:cs="Arial"/>
          <w:color w:val="1D1B11"/>
          <w:szCs w:val="24"/>
        </w:rPr>
        <w:t xml:space="preserve">If there is a huge surge in investor confidence as a result of successful vaccines which leads to a major switch out of government bonds into equities, which, in </w:t>
      </w:r>
      <w:r w:rsidRPr="00E724E3">
        <w:rPr>
          <w:rFonts w:eastAsia="Arial" w:cs="Arial"/>
          <w:color w:val="1D1B11"/>
          <w:szCs w:val="24"/>
        </w:rPr>
        <w:lastRenderedPageBreak/>
        <w:t>turn, causes government debt yields to rise, then there will be pressure on central banks to actively manage debt yields by further QE purchases of government debt; this would help to suppress the rise in debt yields and so keep the total interest bill on greatly expanded government debt portfolios within manageable parameters. It is also the main alternative to a programme of austerity.</w:t>
      </w:r>
    </w:p>
    <w:p w14:paraId="111EBF9F" w14:textId="77777777" w:rsidR="0018443E" w:rsidRPr="00692EA6" w:rsidRDefault="0018443E" w:rsidP="0018443E">
      <w:pPr>
        <w:jc w:val="both"/>
        <w:rPr>
          <w:rFonts w:eastAsia="Arial" w:cs="Arial"/>
          <w:bCs/>
          <w:color w:val="1D1B11"/>
          <w:szCs w:val="24"/>
        </w:rPr>
      </w:pPr>
    </w:p>
    <w:p w14:paraId="63A9E391" w14:textId="77777777" w:rsidR="0018443E" w:rsidRPr="00692EA6" w:rsidRDefault="0018443E" w:rsidP="0018443E">
      <w:pPr>
        <w:jc w:val="both"/>
        <w:rPr>
          <w:rFonts w:eastAsia="Arial" w:cs="Arial"/>
          <w:bCs/>
          <w:color w:val="1D1B11"/>
          <w:szCs w:val="24"/>
        </w:rPr>
      </w:pPr>
    </w:p>
    <w:p w14:paraId="125F3E03" w14:textId="77777777" w:rsidR="0018443E" w:rsidRPr="00692EA6" w:rsidRDefault="0018443E" w:rsidP="0018443E">
      <w:pPr>
        <w:ind w:left="720"/>
        <w:jc w:val="both"/>
        <w:rPr>
          <w:rFonts w:eastAsia="Calibri" w:cs="Arial"/>
          <w:color w:val="0D0D0D"/>
          <w:szCs w:val="24"/>
        </w:rPr>
      </w:pPr>
    </w:p>
    <w:p w14:paraId="5178EA1A" w14:textId="5343D15B" w:rsidR="00013A0A" w:rsidRDefault="00013A0A" w:rsidP="00013A0A">
      <w:pPr>
        <w:jc w:val="right"/>
        <w:rPr>
          <w:rFonts w:cs="Arial"/>
          <w:b/>
          <w:noProof/>
          <w:sz w:val="32"/>
          <w:szCs w:val="32"/>
        </w:rPr>
      </w:pPr>
      <w:r>
        <w:rPr>
          <w:rFonts w:eastAsia="Calibri" w:cs="Arial"/>
          <w:sz w:val="22"/>
          <w:szCs w:val="22"/>
          <w:lang w:val="en-AU"/>
        </w:rPr>
        <w:br w:type="page"/>
      </w:r>
      <w:r w:rsidRPr="00114433">
        <w:rPr>
          <w:rFonts w:cs="Arial"/>
          <w:b/>
          <w:noProof/>
          <w:sz w:val="32"/>
          <w:szCs w:val="32"/>
        </w:rPr>
        <w:lastRenderedPageBreak/>
        <w:t>APPENDIX F</w:t>
      </w:r>
    </w:p>
    <w:p w14:paraId="2F546337" w14:textId="77777777" w:rsidR="0041570C" w:rsidRDefault="0041570C" w:rsidP="0041570C">
      <w:pPr>
        <w:rPr>
          <w:rFonts w:cs="Arial"/>
          <w:b/>
          <w:noProof/>
          <w:sz w:val="32"/>
          <w:szCs w:val="32"/>
        </w:rPr>
      </w:pPr>
      <w:bookmarkStart w:id="19" w:name="_Hlk63348946"/>
      <w:r>
        <w:rPr>
          <w:rFonts w:cs="Arial"/>
          <w:b/>
          <w:noProof/>
          <w:sz w:val="32"/>
          <w:szCs w:val="32"/>
        </w:rPr>
        <w:t>Counterparties and approved investments</w:t>
      </w:r>
    </w:p>
    <w:p w14:paraId="536EF8A4" w14:textId="77777777" w:rsidR="0041570C" w:rsidRDefault="0041570C" w:rsidP="0041570C">
      <w:pPr>
        <w:ind w:left="561" w:hanging="561"/>
        <w:jc w:val="both"/>
        <w:rPr>
          <w:rFonts w:cs="Arial"/>
          <w:b/>
        </w:rPr>
      </w:pPr>
    </w:p>
    <w:p w14:paraId="6345863D" w14:textId="77777777" w:rsidR="0041570C" w:rsidRDefault="0041570C" w:rsidP="0041570C">
      <w:pPr>
        <w:ind w:left="561" w:hanging="561"/>
        <w:jc w:val="both"/>
        <w:rPr>
          <w:rFonts w:cs="Arial"/>
          <w:b/>
          <w:szCs w:val="24"/>
        </w:rPr>
      </w:pPr>
      <w:r>
        <w:rPr>
          <w:rFonts w:cs="Arial"/>
          <w:b/>
          <w:szCs w:val="24"/>
        </w:rPr>
        <w:t>Specified Investments</w:t>
      </w:r>
    </w:p>
    <w:p w14:paraId="7D3BCA1E" w14:textId="77777777" w:rsidR="0041570C" w:rsidRDefault="0041570C" w:rsidP="0041570C">
      <w:pPr>
        <w:autoSpaceDE w:val="0"/>
        <w:autoSpaceDN w:val="0"/>
        <w:adjustRightInd w:val="0"/>
        <w:jc w:val="both"/>
        <w:rPr>
          <w:rFonts w:cs="Arial"/>
          <w:szCs w:val="24"/>
        </w:rPr>
      </w:pPr>
      <w:r>
        <w:rPr>
          <w:rFonts w:cs="Arial"/>
          <w:szCs w:val="24"/>
          <w:lang w:eastAsia="en-GB"/>
        </w:rPr>
        <w:t xml:space="preserve">These are sterling investments with high credit quality of a maturity period of not more than 365 days, or those which could be for a longer period but where the lender has the right to be repaid within 365 days if it wishes. These are low risk assets where the possibility of loss of principal or investment income is negligible. </w:t>
      </w:r>
      <w:r>
        <w:rPr>
          <w:rFonts w:cs="Arial"/>
          <w:szCs w:val="24"/>
        </w:rPr>
        <w:t>The instruments and credit criteria to be used are set out in the table below.</w:t>
      </w:r>
    </w:p>
    <w:bookmarkEnd w:id="19"/>
    <w:p w14:paraId="79C5D9AE" w14:textId="77777777" w:rsidR="0041570C" w:rsidRDefault="0041570C" w:rsidP="0041570C">
      <w:pPr>
        <w:tabs>
          <w:tab w:val="num" w:pos="2160"/>
        </w:tabs>
        <w:spacing w:line="240" w:lineRule="exact"/>
        <w:ind w:left="561" w:hanging="561"/>
        <w:jc w:val="both"/>
        <w:rPr>
          <w:rFonts w:cs="Arial"/>
          <w:b/>
          <w:bCs/>
          <w:szCs w:val="24"/>
        </w:rPr>
      </w:pPr>
    </w:p>
    <w:p w14:paraId="363CE0EC" w14:textId="77777777" w:rsidR="0041570C" w:rsidRDefault="0041570C" w:rsidP="0041570C">
      <w:pPr>
        <w:tabs>
          <w:tab w:val="num" w:pos="2160"/>
        </w:tabs>
        <w:spacing w:line="240" w:lineRule="exact"/>
        <w:ind w:left="561" w:hanging="561"/>
        <w:jc w:val="both"/>
        <w:rPr>
          <w:rFonts w:cs="Arial"/>
          <w:b/>
          <w:bCs/>
          <w:szCs w:val="24"/>
        </w:rPr>
      </w:pPr>
    </w:p>
    <w:p w14:paraId="588D8930" w14:textId="77777777" w:rsidR="0041570C" w:rsidRDefault="0041570C" w:rsidP="0041570C">
      <w:pPr>
        <w:tabs>
          <w:tab w:val="num" w:pos="2160"/>
        </w:tabs>
        <w:spacing w:line="240" w:lineRule="exact"/>
        <w:ind w:left="561" w:hanging="561"/>
        <w:jc w:val="both"/>
        <w:rPr>
          <w:rFonts w:cs="Arial"/>
          <w:b/>
          <w:bCs/>
          <w:szCs w:val="24"/>
        </w:rPr>
      </w:pPr>
      <w:r>
        <w:rPr>
          <w:rFonts w:cs="Arial"/>
          <w:b/>
          <w:bCs/>
          <w:szCs w:val="24"/>
        </w:rPr>
        <w:t>Non-Specified Investments</w:t>
      </w:r>
    </w:p>
    <w:p w14:paraId="48D4CCE8" w14:textId="77777777" w:rsidR="0041570C" w:rsidRDefault="0041570C" w:rsidP="0041570C">
      <w:pPr>
        <w:autoSpaceDE w:val="0"/>
        <w:autoSpaceDN w:val="0"/>
        <w:adjustRightInd w:val="0"/>
        <w:jc w:val="both"/>
        <w:rPr>
          <w:rFonts w:cs="Arial"/>
          <w:szCs w:val="24"/>
          <w:lang w:eastAsia="en-GB"/>
        </w:rPr>
      </w:pPr>
      <w:r>
        <w:rPr>
          <w:rFonts w:cs="Arial"/>
          <w:szCs w:val="24"/>
          <w:lang w:eastAsia="en-GB"/>
        </w:rPr>
        <w:t>Non-specified investments are any other type of investment (i.e. not defined as Specified above).They normally offers the prospect of higher returns but carry a higher risk.</w:t>
      </w:r>
    </w:p>
    <w:p w14:paraId="26C5AB49" w14:textId="77777777" w:rsidR="0041570C" w:rsidRDefault="0041570C" w:rsidP="0041570C">
      <w:pPr>
        <w:autoSpaceDE w:val="0"/>
        <w:autoSpaceDN w:val="0"/>
        <w:adjustRightInd w:val="0"/>
        <w:jc w:val="both"/>
        <w:rPr>
          <w:rFonts w:cs="Arial"/>
          <w:szCs w:val="24"/>
          <w:lang w:eastAsia="en-GB"/>
        </w:rPr>
      </w:pPr>
    </w:p>
    <w:p w14:paraId="0848E28B" w14:textId="77777777" w:rsidR="0041570C" w:rsidRDefault="0041570C" w:rsidP="0041570C">
      <w:pPr>
        <w:autoSpaceDE w:val="0"/>
        <w:autoSpaceDN w:val="0"/>
        <w:adjustRightInd w:val="0"/>
        <w:jc w:val="both"/>
        <w:rPr>
          <w:rFonts w:cs="Arial"/>
          <w:szCs w:val="24"/>
          <w:lang w:eastAsia="en-GB"/>
        </w:rPr>
      </w:pPr>
      <w:r>
        <w:rPr>
          <w:rFonts w:cs="Arial"/>
          <w:szCs w:val="24"/>
          <w:lang w:eastAsia="en-GB"/>
        </w:rPr>
        <w:t>The Director of Finance will make best efforts to maintain at least 50% of all investments in the form of Specified Investments.</w:t>
      </w:r>
    </w:p>
    <w:p w14:paraId="6F27ABDC" w14:textId="77777777" w:rsidR="0041570C" w:rsidRDefault="0041570C" w:rsidP="0041570C">
      <w:pPr>
        <w:autoSpaceDE w:val="0"/>
        <w:autoSpaceDN w:val="0"/>
        <w:adjustRightInd w:val="0"/>
        <w:jc w:val="both"/>
        <w:rPr>
          <w:rFonts w:cs="Arial"/>
          <w:szCs w:val="24"/>
          <w:lang w:eastAsia="en-GB"/>
        </w:rPr>
      </w:pPr>
    </w:p>
    <w:p w14:paraId="5FF90E0E" w14:textId="77777777" w:rsidR="0041570C" w:rsidRDefault="0041570C" w:rsidP="0041570C">
      <w:pPr>
        <w:autoSpaceDE w:val="0"/>
        <w:autoSpaceDN w:val="0"/>
        <w:adjustRightInd w:val="0"/>
        <w:jc w:val="both"/>
        <w:rPr>
          <w:rFonts w:cs="Arial"/>
          <w:szCs w:val="24"/>
          <w:lang w:eastAsia="en-GB"/>
        </w:rPr>
      </w:pPr>
      <w:r>
        <w:rPr>
          <w:rFonts w:cs="Arial"/>
          <w:b/>
          <w:bCs/>
          <w:szCs w:val="24"/>
          <w:lang w:eastAsia="en-GB"/>
        </w:rPr>
        <w:t>Table 1</w:t>
      </w:r>
      <w:r>
        <w:rPr>
          <w:rFonts w:cs="Arial"/>
          <w:szCs w:val="24"/>
          <w:lang w:eastAsia="en-GB"/>
        </w:rPr>
        <w:t xml:space="preserve"> sets out the range of specified and non-specified investments permitted by the Council. This has been expanded from previous years to give the Council flexibility to join a collective investment arrangement with the GLA should this be agreed. The table uses the following key:</w:t>
      </w:r>
    </w:p>
    <w:p w14:paraId="709D2818" w14:textId="77777777" w:rsidR="0041570C" w:rsidRDefault="0041570C" w:rsidP="0041570C">
      <w:pPr>
        <w:autoSpaceDE w:val="0"/>
        <w:autoSpaceDN w:val="0"/>
        <w:adjustRightInd w:val="0"/>
        <w:jc w:val="both"/>
        <w:rPr>
          <w:rFonts w:cs="Arial"/>
          <w:szCs w:val="24"/>
          <w:lang w:eastAsia="en-GB"/>
        </w:rPr>
      </w:pPr>
    </w:p>
    <w:p w14:paraId="581807F8" w14:textId="77777777" w:rsidR="0041570C" w:rsidRDefault="0041570C" w:rsidP="0041570C">
      <w:pPr>
        <w:autoSpaceDE w:val="0"/>
        <w:autoSpaceDN w:val="0"/>
        <w:adjustRightInd w:val="0"/>
        <w:jc w:val="both"/>
        <w:rPr>
          <w:rFonts w:cs="Arial"/>
          <w:szCs w:val="24"/>
          <w:lang w:eastAsia="en-GB"/>
        </w:rPr>
      </w:pPr>
      <w:r>
        <w:rPr>
          <w:rFonts w:cs="Arial"/>
          <w:szCs w:val="24"/>
          <w:lang w:eastAsia="en-GB"/>
        </w:rPr>
        <w:t>S = Specified</w:t>
      </w:r>
    </w:p>
    <w:p w14:paraId="2CF69AA0" w14:textId="77777777" w:rsidR="0041570C" w:rsidRDefault="0041570C" w:rsidP="0041570C">
      <w:pPr>
        <w:autoSpaceDE w:val="0"/>
        <w:autoSpaceDN w:val="0"/>
        <w:adjustRightInd w:val="0"/>
        <w:jc w:val="both"/>
        <w:rPr>
          <w:rFonts w:cs="Arial"/>
          <w:szCs w:val="24"/>
          <w:lang w:eastAsia="en-GB"/>
        </w:rPr>
      </w:pPr>
      <w:r>
        <w:rPr>
          <w:rFonts w:cs="Arial"/>
          <w:szCs w:val="24"/>
          <w:lang w:eastAsia="en-GB"/>
        </w:rPr>
        <w:t>NS = Non Specified</w:t>
      </w:r>
    </w:p>
    <w:p w14:paraId="0B96A453" w14:textId="77777777" w:rsidR="0041570C" w:rsidRDefault="0041570C" w:rsidP="0041570C">
      <w:pPr>
        <w:autoSpaceDE w:val="0"/>
        <w:autoSpaceDN w:val="0"/>
        <w:adjustRightInd w:val="0"/>
        <w:jc w:val="both"/>
        <w:rPr>
          <w:rFonts w:cs="Arial"/>
          <w:szCs w:val="24"/>
          <w:lang w:eastAsia="en-GB"/>
        </w:rPr>
      </w:pPr>
      <w:r>
        <w:rPr>
          <w:rFonts w:cs="Arial"/>
          <w:szCs w:val="24"/>
          <w:lang w:eastAsia="en-GB"/>
        </w:rPr>
        <w:t>NS* = Non Specified, only used under delegation to a professional manager properly authorised under the Financial Services and Markets Act.</w:t>
      </w:r>
    </w:p>
    <w:p w14:paraId="2D2AC079" w14:textId="77777777" w:rsidR="0041570C" w:rsidRDefault="0041570C" w:rsidP="0041570C">
      <w:pPr>
        <w:autoSpaceDE w:val="0"/>
        <w:autoSpaceDN w:val="0"/>
        <w:adjustRightInd w:val="0"/>
        <w:jc w:val="both"/>
        <w:rPr>
          <w:rFonts w:cs="Arial"/>
          <w:szCs w:val="24"/>
          <w:lang w:eastAsia="en-GB"/>
        </w:rPr>
      </w:pPr>
    </w:p>
    <w:p w14:paraId="5C269DE6" w14:textId="77777777" w:rsidR="0041570C" w:rsidRDefault="0041570C" w:rsidP="0041570C">
      <w:pPr>
        <w:autoSpaceDE w:val="0"/>
        <w:autoSpaceDN w:val="0"/>
        <w:adjustRightInd w:val="0"/>
        <w:jc w:val="both"/>
        <w:rPr>
          <w:rFonts w:cs="Arial"/>
          <w:szCs w:val="24"/>
          <w:lang w:eastAsia="en-GB"/>
        </w:rPr>
      </w:pPr>
      <w:r>
        <w:rPr>
          <w:rFonts w:cs="Arial"/>
          <w:szCs w:val="24"/>
          <w:lang w:eastAsia="en-GB"/>
        </w:rPr>
        <w:t>The draft GLA collective investment strategy is as follows:</w:t>
      </w:r>
    </w:p>
    <w:p w14:paraId="50846662" w14:textId="77777777" w:rsidR="0041570C" w:rsidRDefault="0041570C" w:rsidP="0041570C">
      <w:pPr>
        <w:autoSpaceDE w:val="0"/>
        <w:autoSpaceDN w:val="0"/>
        <w:adjustRightInd w:val="0"/>
        <w:jc w:val="both"/>
        <w:rPr>
          <w:rFonts w:cs="Arial"/>
          <w:szCs w:val="24"/>
          <w:lang w:eastAsia="en-GB"/>
        </w:rPr>
      </w:pPr>
    </w:p>
    <w:tbl>
      <w:tblPr>
        <w:tblStyle w:val="TableGrid"/>
        <w:tblW w:w="5000" w:type="pct"/>
        <w:tblLook w:val="04A0" w:firstRow="1" w:lastRow="0" w:firstColumn="1" w:lastColumn="0" w:noHBand="0" w:noVBand="1"/>
      </w:tblPr>
      <w:tblGrid>
        <w:gridCol w:w="1867"/>
        <w:gridCol w:w="3191"/>
        <w:gridCol w:w="1377"/>
        <w:gridCol w:w="1870"/>
      </w:tblGrid>
      <w:tr w:rsidR="0041570C" w14:paraId="734819D5" w14:textId="77777777" w:rsidTr="0041570C">
        <w:trPr>
          <w:trHeight w:val="273"/>
        </w:trPr>
        <w:tc>
          <w:tcPr>
            <w:tcW w:w="1589" w:type="pct"/>
            <w:tcBorders>
              <w:top w:val="single" w:sz="4" w:space="0" w:color="auto"/>
              <w:left w:val="single" w:sz="4" w:space="0" w:color="auto"/>
              <w:bottom w:val="single" w:sz="4" w:space="0" w:color="auto"/>
              <w:right w:val="single" w:sz="4" w:space="0" w:color="auto"/>
            </w:tcBorders>
          </w:tcPr>
          <w:p w14:paraId="025891AD" w14:textId="77777777" w:rsidR="0041570C" w:rsidRDefault="0041570C">
            <w:pPr>
              <w:jc w:val="right"/>
              <w:rPr>
                <w:rFonts w:cs="Arial"/>
                <w:b/>
                <w:bCs/>
                <w:color w:val="000000"/>
                <w:sz w:val="22"/>
                <w:szCs w:val="22"/>
                <w:lang w:eastAsia="en-GB"/>
              </w:rPr>
            </w:pPr>
          </w:p>
        </w:tc>
        <w:tc>
          <w:tcPr>
            <w:tcW w:w="1632" w:type="pct"/>
            <w:tcBorders>
              <w:top w:val="single" w:sz="4" w:space="0" w:color="auto"/>
              <w:left w:val="single" w:sz="4" w:space="0" w:color="auto"/>
              <w:bottom w:val="single" w:sz="4" w:space="0" w:color="auto"/>
              <w:right w:val="single" w:sz="4" w:space="0" w:color="auto"/>
            </w:tcBorders>
            <w:noWrap/>
            <w:hideMark/>
          </w:tcPr>
          <w:p w14:paraId="1AD945AF" w14:textId="77777777" w:rsidR="0041570C" w:rsidRDefault="0041570C">
            <w:pPr>
              <w:rPr>
                <w:rFonts w:cs="Arial"/>
                <w:b/>
                <w:bCs/>
                <w:color w:val="000000"/>
                <w:lang w:eastAsia="en-GB"/>
              </w:rPr>
            </w:pPr>
          </w:p>
        </w:tc>
        <w:tc>
          <w:tcPr>
            <w:tcW w:w="780" w:type="pct"/>
            <w:tcBorders>
              <w:top w:val="single" w:sz="4" w:space="0" w:color="auto"/>
              <w:left w:val="single" w:sz="4" w:space="0" w:color="auto"/>
              <w:bottom w:val="single" w:sz="4" w:space="0" w:color="auto"/>
              <w:right w:val="single" w:sz="4" w:space="0" w:color="auto"/>
            </w:tcBorders>
            <w:noWrap/>
            <w:hideMark/>
          </w:tcPr>
          <w:p w14:paraId="1C530805" w14:textId="77777777" w:rsidR="0041570C" w:rsidRDefault="0041570C">
            <w:pPr>
              <w:rPr>
                <w:rFonts w:cs="Arial"/>
                <w:b/>
                <w:bCs/>
                <w:color w:val="000000"/>
                <w:sz w:val="22"/>
                <w:szCs w:val="22"/>
                <w:lang w:eastAsia="en-GB"/>
              </w:rPr>
            </w:pPr>
            <w:r>
              <w:rPr>
                <w:rFonts w:cs="Arial"/>
                <w:b/>
                <w:bCs/>
                <w:color w:val="000000"/>
                <w:lang w:eastAsia="en-GB"/>
              </w:rPr>
              <w:t>Allocation</w:t>
            </w:r>
          </w:p>
        </w:tc>
        <w:tc>
          <w:tcPr>
            <w:tcW w:w="999" w:type="pct"/>
            <w:tcBorders>
              <w:top w:val="single" w:sz="4" w:space="0" w:color="auto"/>
              <w:left w:val="single" w:sz="4" w:space="0" w:color="auto"/>
              <w:bottom w:val="single" w:sz="4" w:space="0" w:color="auto"/>
              <w:right w:val="single" w:sz="4" w:space="0" w:color="auto"/>
            </w:tcBorders>
            <w:noWrap/>
            <w:hideMark/>
          </w:tcPr>
          <w:p w14:paraId="38677033" w14:textId="77777777" w:rsidR="0041570C" w:rsidRDefault="0041570C">
            <w:pPr>
              <w:rPr>
                <w:rFonts w:cs="Arial"/>
                <w:b/>
                <w:bCs/>
                <w:color w:val="000000"/>
                <w:lang w:eastAsia="en-GB"/>
              </w:rPr>
            </w:pPr>
            <w:r>
              <w:rPr>
                <w:rFonts w:cs="Arial"/>
                <w:b/>
                <w:bCs/>
                <w:color w:val="000000"/>
                <w:lang w:eastAsia="en-GB"/>
              </w:rPr>
              <w:t>Expected Rate</w:t>
            </w:r>
          </w:p>
        </w:tc>
      </w:tr>
      <w:tr w:rsidR="0041570C" w14:paraId="7DAC4DA9" w14:textId="77777777" w:rsidTr="0041570C">
        <w:trPr>
          <w:trHeight w:val="273"/>
        </w:trPr>
        <w:tc>
          <w:tcPr>
            <w:tcW w:w="1589" w:type="pct"/>
            <w:vMerge w:val="restart"/>
            <w:tcBorders>
              <w:top w:val="single" w:sz="4" w:space="0" w:color="auto"/>
              <w:left w:val="single" w:sz="4" w:space="0" w:color="auto"/>
              <w:bottom w:val="single" w:sz="4" w:space="0" w:color="auto"/>
              <w:right w:val="single" w:sz="4" w:space="0" w:color="auto"/>
            </w:tcBorders>
            <w:hideMark/>
          </w:tcPr>
          <w:p w14:paraId="30140142" w14:textId="77777777" w:rsidR="0041570C" w:rsidRDefault="0041570C">
            <w:pPr>
              <w:jc w:val="right"/>
              <w:rPr>
                <w:rFonts w:cs="Arial"/>
                <w:color w:val="000000"/>
                <w:lang w:eastAsia="en-GB"/>
              </w:rPr>
            </w:pPr>
            <w:r>
              <w:rPr>
                <w:rFonts w:cs="Arial"/>
                <w:color w:val="000000"/>
                <w:lang w:eastAsia="en-GB"/>
              </w:rPr>
              <w:t>Core Liquidity: Managed with a weighted average life of 90 days</w:t>
            </w:r>
          </w:p>
        </w:tc>
        <w:tc>
          <w:tcPr>
            <w:tcW w:w="1632" w:type="pct"/>
            <w:tcBorders>
              <w:top w:val="single" w:sz="4" w:space="0" w:color="auto"/>
              <w:left w:val="single" w:sz="4" w:space="0" w:color="auto"/>
              <w:bottom w:val="single" w:sz="4" w:space="0" w:color="auto"/>
              <w:right w:val="single" w:sz="4" w:space="0" w:color="auto"/>
            </w:tcBorders>
            <w:noWrap/>
            <w:hideMark/>
          </w:tcPr>
          <w:p w14:paraId="0A8104A4" w14:textId="77777777" w:rsidR="0041570C" w:rsidRDefault="0041570C">
            <w:pPr>
              <w:jc w:val="right"/>
              <w:rPr>
                <w:rFonts w:cs="Arial"/>
                <w:color w:val="000000"/>
                <w:lang w:eastAsia="en-GB"/>
              </w:rPr>
            </w:pPr>
            <w:r>
              <w:rPr>
                <w:rFonts w:cs="Arial"/>
                <w:color w:val="000000"/>
                <w:lang w:eastAsia="en-GB"/>
              </w:rPr>
              <w:t>Overnight liquidity</w:t>
            </w:r>
          </w:p>
        </w:tc>
        <w:tc>
          <w:tcPr>
            <w:tcW w:w="780" w:type="pct"/>
            <w:tcBorders>
              <w:top w:val="single" w:sz="4" w:space="0" w:color="auto"/>
              <w:left w:val="single" w:sz="4" w:space="0" w:color="auto"/>
              <w:bottom w:val="single" w:sz="4" w:space="0" w:color="auto"/>
              <w:right w:val="single" w:sz="4" w:space="0" w:color="auto"/>
            </w:tcBorders>
            <w:noWrap/>
            <w:hideMark/>
          </w:tcPr>
          <w:p w14:paraId="129BBBE2" w14:textId="77777777" w:rsidR="0041570C" w:rsidRDefault="0041570C">
            <w:pPr>
              <w:jc w:val="right"/>
              <w:rPr>
                <w:rFonts w:cs="Arial"/>
                <w:color w:val="000000"/>
                <w:lang w:eastAsia="en-GB"/>
              </w:rPr>
            </w:pPr>
            <w:r>
              <w:rPr>
                <w:rFonts w:cs="Arial"/>
                <w:color w:val="000000"/>
                <w:lang w:eastAsia="en-GB"/>
              </w:rPr>
              <w:t>10%</w:t>
            </w:r>
          </w:p>
        </w:tc>
        <w:tc>
          <w:tcPr>
            <w:tcW w:w="999" w:type="pct"/>
            <w:tcBorders>
              <w:top w:val="single" w:sz="4" w:space="0" w:color="auto"/>
              <w:left w:val="single" w:sz="4" w:space="0" w:color="auto"/>
              <w:bottom w:val="single" w:sz="4" w:space="0" w:color="auto"/>
              <w:right w:val="single" w:sz="4" w:space="0" w:color="auto"/>
            </w:tcBorders>
            <w:noWrap/>
            <w:hideMark/>
          </w:tcPr>
          <w:p w14:paraId="7B837855" w14:textId="77777777" w:rsidR="0041570C" w:rsidRDefault="0041570C">
            <w:pPr>
              <w:jc w:val="right"/>
              <w:rPr>
                <w:rFonts w:cs="Arial"/>
                <w:color w:val="000000"/>
                <w:lang w:eastAsia="en-GB"/>
              </w:rPr>
            </w:pPr>
            <w:r>
              <w:rPr>
                <w:rFonts w:cs="Arial"/>
                <w:color w:val="000000"/>
                <w:lang w:eastAsia="en-GB"/>
              </w:rPr>
              <w:t>0.00%</w:t>
            </w:r>
          </w:p>
        </w:tc>
      </w:tr>
      <w:tr w:rsidR="0041570C" w14:paraId="716E55A6" w14:textId="77777777" w:rsidTr="0041570C">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2C451A" w14:textId="77777777" w:rsidR="0041570C" w:rsidRDefault="0041570C">
            <w:pPr>
              <w:rPr>
                <w:rFonts w:cs="Arial"/>
                <w:color w:val="000000"/>
                <w:sz w:val="22"/>
                <w:szCs w:val="22"/>
                <w:lang w:eastAsia="en-GB"/>
              </w:rPr>
            </w:pPr>
          </w:p>
        </w:tc>
        <w:tc>
          <w:tcPr>
            <w:tcW w:w="1632" w:type="pct"/>
            <w:tcBorders>
              <w:top w:val="single" w:sz="4" w:space="0" w:color="auto"/>
              <w:left w:val="single" w:sz="4" w:space="0" w:color="auto"/>
              <w:bottom w:val="single" w:sz="4" w:space="0" w:color="auto"/>
              <w:right w:val="single" w:sz="4" w:space="0" w:color="auto"/>
            </w:tcBorders>
            <w:noWrap/>
            <w:hideMark/>
          </w:tcPr>
          <w:p w14:paraId="7B63E842" w14:textId="77777777" w:rsidR="0041570C" w:rsidRDefault="0041570C">
            <w:pPr>
              <w:jc w:val="right"/>
              <w:rPr>
                <w:rFonts w:cs="Arial"/>
                <w:color w:val="000000"/>
                <w:lang w:eastAsia="en-GB"/>
              </w:rPr>
            </w:pPr>
            <w:r>
              <w:rPr>
                <w:rFonts w:cs="Arial"/>
                <w:color w:val="000000"/>
                <w:lang w:eastAsia="en-GB"/>
              </w:rPr>
              <w:t>Local Authority &lt;12mths</w:t>
            </w:r>
          </w:p>
        </w:tc>
        <w:tc>
          <w:tcPr>
            <w:tcW w:w="780" w:type="pct"/>
            <w:tcBorders>
              <w:top w:val="single" w:sz="4" w:space="0" w:color="auto"/>
              <w:left w:val="single" w:sz="4" w:space="0" w:color="auto"/>
              <w:bottom w:val="single" w:sz="4" w:space="0" w:color="auto"/>
              <w:right w:val="single" w:sz="4" w:space="0" w:color="auto"/>
            </w:tcBorders>
            <w:noWrap/>
            <w:hideMark/>
          </w:tcPr>
          <w:p w14:paraId="42D228CF" w14:textId="77777777" w:rsidR="0041570C" w:rsidRDefault="0041570C">
            <w:pPr>
              <w:jc w:val="right"/>
              <w:rPr>
                <w:rFonts w:cs="Arial"/>
                <w:color w:val="000000"/>
                <w:lang w:eastAsia="en-GB"/>
              </w:rPr>
            </w:pPr>
            <w:r>
              <w:rPr>
                <w:rFonts w:cs="Arial"/>
                <w:color w:val="000000"/>
                <w:lang w:eastAsia="en-GB"/>
              </w:rPr>
              <w:t>15%</w:t>
            </w:r>
          </w:p>
        </w:tc>
        <w:tc>
          <w:tcPr>
            <w:tcW w:w="999" w:type="pct"/>
            <w:tcBorders>
              <w:top w:val="single" w:sz="4" w:space="0" w:color="auto"/>
              <w:left w:val="single" w:sz="4" w:space="0" w:color="auto"/>
              <w:bottom w:val="single" w:sz="4" w:space="0" w:color="auto"/>
              <w:right w:val="single" w:sz="4" w:space="0" w:color="auto"/>
            </w:tcBorders>
            <w:noWrap/>
            <w:hideMark/>
          </w:tcPr>
          <w:p w14:paraId="1374585B" w14:textId="77777777" w:rsidR="0041570C" w:rsidRDefault="0041570C">
            <w:pPr>
              <w:jc w:val="right"/>
              <w:rPr>
                <w:rFonts w:cs="Arial"/>
                <w:color w:val="000000"/>
                <w:lang w:eastAsia="en-GB"/>
              </w:rPr>
            </w:pPr>
            <w:r>
              <w:rPr>
                <w:rFonts w:cs="Arial"/>
                <w:color w:val="000000"/>
                <w:lang w:eastAsia="en-GB"/>
              </w:rPr>
              <w:t>0.10%</w:t>
            </w:r>
          </w:p>
        </w:tc>
      </w:tr>
      <w:tr w:rsidR="0041570C" w14:paraId="6D846A26" w14:textId="77777777" w:rsidTr="0041570C">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D8C328" w14:textId="77777777" w:rsidR="0041570C" w:rsidRDefault="0041570C">
            <w:pPr>
              <w:rPr>
                <w:rFonts w:cs="Arial"/>
                <w:color w:val="000000"/>
                <w:sz w:val="22"/>
                <w:szCs w:val="22"/>
                <w:lang w:eastAsia="en-GB"/>
              </w:rPr>
            </w:pPr>
          </w:p>
        </w:tc>
        <w:tc>
          <w:tcPr>
            <w:tcW w:w="1632" w:type="pct"/>
            <w:tcBorders>
              <w:top w:val="single" w:sz="4" w:space="0" w:color="auto"/>
              <w:left w:val="single" w:sz="4" w:space="0" w:color="auto"/>
              <w:bottom w:val="single" w:sz="4" w:space="0" w:color="auto"/>
              <w:right w:val="single" w:sz="4" w:space="0" w:color="auto"/>
            </w:tcBorders>
            <w:noWrap/>
            <w:hideMark/>
          </w:tcPr>
          <w:p w14:paraId="06C3A722" w14:textId="77777777" w:rsidR="0041570C" w:rsidRDefault="0041570C">
            <w:pPr>
              <w:jc w:val="right"/>
              <w:rPr>
                <w:rFonts w:cs="Arial"/>
                <w:color w:val="000000"/>
                <w:lang w:eastAsia="en-GB"/>
              </w:rPr>
            </w:pPr>
            <w:r>
              <w:rPr>
                <w:rFonts w:cs="Arial"/>
                <w:color w:val="000000"/>
                <w:lang w:eastAsia="en-GB"/>
              </w:rPr>
              <w:t>Banks &lt;12mths</w:t>
            </w:r>
          </w:p>
        </w:tc>
        <w:tc>
          <w:tcPr>
            <w:tcW w:w="780" w:type="pct"/>
            <w:tcBorders>
              <w:top w:val="single" w:sz="4" w:space="0" w:color="auto"/>
              <w:left w:val="single" w:sz="4" w:space="0" w:color="auto"/>
              <w:bottom w:val="single" w:sz="4" w:space="0" w:color="auto"/>
              <w:right w:val="single" w:sz="4" w:space="0" w:color="auto"/>
            </w:tcBorders>
            <w:noWrap/>
            <w:hideMark/>
          </w:tcPr>
          <w:p w14:paraId="1AEF6F69" w14:textId="77777777" w:rsidR="0041570C" w:rsidRDefault="0041570C">
            <w:pPr>
              <w:jc w:val="right"/>
              <w:rPr>
                <w:rFonts w:cs="Arial"/>
                <w:color w:val="000000"/>
                <w:lang w:eastAsia="en-GB"/>
              </w:rPr>
            </w:pPr>
            <w:r>
              <w:rPr>
                <w:rFonts w:cs="Arial"/>
                <w:color w:val="000000"/>
                <w:lang w:eastAsia="en-GB"/>
              </w:rPr>
              <w:t>30%</w:t>
            </w:r>
          </w:p>
        </w:tc>
        <w:tc>
          <w:tcPr>
            <w:tcW w:w="999" w:type="pct"/>
            <w:tcBorders>
              <w:top w:val="single" w:sz="4" w:space="0" w:color="auto"/>
              <w:left w:val="single" w:sz="4" w:space="0" w:color="auto"/>
              <w:bottom w:val="single" w:sz="4" w:space="0" w:color="auto"/>
              <w:right w:val="single" w:sz="4" w:space="0" w:color="auto"/>
            </w:tcBorders>
            <w:noWrap/>
            <w:hideMark/>
          </w:tcPr>
          <w:p w14:paraId="6E91E17D" w14:textId="77777777" w:rsidR="0041570C" w:rsidRDefault="0041570C">
            <w:pPr>
              <w:jc w:val="right"/>
              <w:rPr>
                <w:rFonts w:cs="Arial"/>
                <w:color w:val="000000"/>
                <w:lang w:eastAsia="en-GB"/>
              </w:rPr>
            </w:pPr>
            <w:r>
              <w:rPr>
                <w:rFonts w:cs="Arial"/>
                <w:color w:val="000000"/>
                <w:lang w:eastAsia="en-GB"/>
              </w:rPr>
              <w:t>0.10%</w:t>
            </w:r>
          </w:p>
        </w:tc>
      </w:tr>
      <w:tr w:rsidR="0041570C" w14:paraId="5CBE7859" w14:textId="77777777" w:rsidTr="0041570C">
        <w:trPr>
          <w:trHeight w:val="273"/>
        </w:trPr>
        <w:tc>
          <w:tcPr>
            <w:tcW w:w="1589" w:type="pct"/>
            <w:tcBorders>
              <w:top w:val="single" w:sz="4" w:space="0" w:color="auto"/>
              <w:left w:val="single" w:sz="4" w:space="0" w:color="auto"/>
              <w:bottom w:val="single" w:sz="4" w:space="0" w:color="auto"/>
              <w:right w:val="single" w:sz="4" w:space="0" w:color="auto"/>
            </w:tcBorders>
            <w:hideMark/>
          </w:tcPr>
          <w:p w14:paraId="0BE929D2" w14:textId="77777777" w:rsidR="0041570C" w:rsidRDefault="0041570C">
            <w:pPr>
              <w:jc w:val="right"/>
              <w:rPr>
                <w:rFonts w:cs="Arial"/>
                <w:color w:val="000000"/>
                <w:lang w:eastAsia="en-GB"/>
              </w:rPr>
            </w:pPr>
            <w:r>
              <w:rPr>
                <w:rFonts w:cs="Arial"/>
                <w:color w:val="000000"/>
                <w:lang w:eastAsia="en-GB"/>
              </w:rPr>
              <w:t xml:space="preserve">Medium term: Weighted average life &lt; 3years </w:t>
            </w:r>
          </w:p>
        </w:tc>
        <w:tc>
          <w:tcPr>
            <w:tcW w:w="1632" w:type="pct"/>
            <w:tcBorders>
              <w:top w:val="single" w:sz="4" w:space="0" w:color="auto"/>
              <w:left w:val="single" w:sz="4" w:space="0" w:color="auto"/>
              <w:bottom w:val="single" w:sz="4" w:space="0" w:color="auto"/>
              <w:right w:val="single" w:sz="4" w:space="0" w:color="auto"/>
            </w:tcBorders>
            <w:noWrap/>
            <w:hideMark/>
          </w:tcPr>
          <w:p w14:paraId="0AF61411" w14:textId="77777777" w:rsidR="0041570C" w:rsidRDefault="0041570C">
            <w:pPr>
              <w:jc w:val="right"/>
              <w:rPr>
                <w:rFonts w:cs="Arial"/>
                <w:color w:val="000000"/>
                <w:lang w:eastAsia="en-GB"/>
              </w:rPr>
            </w:pPr>
            <w:r>
              <w:rPr>
                <w:rFonts w:cs="Arial"/>
                <w:color w:val="000000"/>
                <w:lang w:eastAsia="en-GB"/>
              </w:rPr>
              <w:t>Senior RMBS</w:t>
            </w:r>
          </w:p>
        </w:tc>
        <w:tc>
          <w:tcPr>
            <w:tcW w:w="780" w:type="pct"/>
            <w:tcBorders>
              <w:top w:val="single" w:sz="4" w:space="0" w:color="auto"/>
              <w:left w:val="single" w:sz="4" w:space="0" w:color="auto"/>
              <w:bottom w:val="single" w:sz="4" w:space="0" w:color="auto"/>
              <w:right w:val="single" w:sz="4" w:space="0" w:color="auto"/>
            </w:tcBorders>
            <w:noWrap/>
            <w:hideMark/>
          </w:tcPr>
          <w:p w14:paraId="1D6C7B30" w14:textId="77777777" w:rsidR="0041570C" w:rsidRDefault="0041570C">
            <w:pPr>
              <w:jc w:val="right"/>
              <w:rPr>
                <w:rFonts w:cs="Arial"/>
                <w:color w:val="000000"/>
                <w:lang w:eastAsia="en-GB"/>
              </w:rPr>
            </w:pPr>
            <w:r>
              <w:rPr>
                <w:rFonts w:cs="Arial"/>
                <w:color w:val="000000"/>
                <w:lang w:eastAsia="en-GB"/>
              </w:rPr>
              <w:t>35%</w:t>
            </w:r>
          </w:p>
        </w:tc>
        <w:tc>
          <w:tcPr>
            <w:tcW w:w="999" w:type="pct"/>
            <w:tcBorders>
              <w:top w:val="single" w:sz="4" w:space="0" w:color="auto"/>
              <w:left w:val="single" w:sz="4" w:space="0" w:color="auto"/>
              <w:bottom w:val="single" w:sz="4" w:space="0" w:color="auto"/>
              <w:right w:val="single" w:sz="4" w:space="0" w:color="auto"/>
            </w:tcBorders>
            <w:noWrap/>
            <w:hideMark/>
          </w:tcPr>
          <w:p w14:paraId="65BE9DF4" w14:textId="77777777" w:rsidR="0041570C" w:rsidRDefault="0041570C">
            <w:pPr>
              <w:jc w:val="right"/>
              <w:rPr>
                <w:rFonts w:cs="Arial"/>
                <w:color w:val="000000"/>
                <w:lang w:eastAsia="en-GB"/>
              </w:rPr>
            </w:pPr>
            <w:r>
              <w:rPr>
                <w:rFonts w:cs="Arial"/>
                <w:color w:val="000000"/>
                <w:lang w:eastAsia="en-GB"/>
              </w:rPr>
              <w:t>0.70%</w:t>
            </w:r>
          </w:p>
        </w:tc>
      </w:tr>
      <w:tr w:rsidR="0041570C" w14:paraId="310C2ECC" w14:textId="77777777" w:rsidTr="0041570C">
        <w:trPr>
          <w:trHeight w:val="273"/>
        </w:trPr>
        <w:tc>
          <w:tcPr>
            <w:tcW w:w="1589" w:type="pct"/>
            <w:tcBorders>
              <w:top w:val="single" w:sz="4" w:space="0" w:color="auto"/>
              <w:left w:val="single" w:sz="4" w:space="0" w:color="auto"/>
              <w:bottom w:val="single" w:sz="4" w:space="0" w:color="auto"/>
              <w:right w:val="single" w:sz="4" w:space="0" w:color="auto"/>
            </w:tcBorders>
            <w:hideMark/>
          </w:tcPr>
          <w:p w14:paraId="121BDEF4" w14:textId="77777777" w:rsidR="0041570C" w:rsidRDefault="0041570C">
            <w:pPr>
              <w:jc w:val="right"/>
              <w:rPr>
                <w:rFonts w:cs="Arial"/>
                <w:color w:val="000000"/>
                <w:lang w:eastAsia="en-GB"/>
              </w:rPr>
            </w:pPr>
            <w:r>
              <w:rPr>
                <w:rFonts w:cs="Arial"/>
                <w:color w:val="000000"/>
                <w:lang w:eastAsia="en-GB"/>
              </w:rPr>
              <w:t>Long term core balance</w:t>
            </w:r>
          </w:p>
        </w:tc>
        <w:tc>
          <w:tcPr>
            <w:tcW w:w="1632" w:type="pct"/>
            <w:tcBorders>
              <w:top w:val="single" w:sz="4" w:space="0" w:color="auto"/>
              <w:left w:val="single" w:sz="4" w:space="0" w:color="auto"/>
              <w:bottom w:val="single" w:sz="4" w:space="0" w:color="auto"/>
              <w:right w:val="single" w:sz="4" w:space="0" w:color="auto"/>
            </w:tcBorders>
            <w:noWrap/>
            <w:hideMark/>
          </w:tcPr>
          <w:p w14:paraId="5244EA57" w14:textId="77777777" w:rsidR="0041570C" w:rsidRDefault="0041570C">
            <w:pPr>
              <w:jc w:val="right"/>
              <w:rPr>
                <w:rFonts w:cs="Arial"/>
                <w:color w:val="000000"/>
                <w:lang w:eastAsia="en-GB"/>
              </w:rPr>
            </w:pPr>
            <w:r>
              <w:rPr>
                <w:rFonts w:cs="Arial"/>
                <w:color w:val="000000"/>
                <w:lang w:eastAsia="en-GB"/>
              </w:rPr>
              <w:t>Other Strategic Investments</w:t>
            </w:r>
          </w:p>
        </w:tc>
        <w:tc>
          <w:tcPr>
            <w:tcW w:w="780" w:type="pct"/>
            <w:tcBorders>
              <w:top w:val="single" w:sz="4" w:space="0" w:color="auto"/>
              <w:left w:val="single" w:sz="4" w:space="0" w:color="auto"/>
              <w:bottom w:val="single" w:sz="4" w:space="0" w:color="auto"/>
              <w:right w:val="single" w:sz="4" w:space="0" w:color="auto"/>
            </w:tcBorders>
            <w:noWrap/>
            <w:hideMark/>
          </w:tcPr>
          <w:p w14:paraId="38DEF22F" w14:textId="77777777" w:rsidR="0041570C" w:rsidRDefault="0041570C">
            <w:pPr>
              <w:jc w:val="right"/>
              <w:rPr>
                <w:rFonts w:cs="Arial"/>
                <w:color w:val="000000"/>
                <w:lang w:eastAsia="en-GB"/>
              </w:rPr>
            </w:pPr>
            <w:r>
              <w:rPr>
                <w:rFonts w:cs="Arial"/>
                <w:color w:val="000000"/>
                <w:lang w:eastAsia="en-GB"/>
              </w:rPr>
              <w:t>10%</w:t>
            </w:r>
          </w:p>
        </w:tc>
        <w:tc>
          <w:tcPr>
            <w:tcW w:w="999" w:type="pct"/>
            <w:tcBorders>
              <w:top w:val="single" w:sz="4" w:space="0" w:color="auto"/>
              <w:left w:val="single" w:sz="4" w:space="0" w:color="auto"/>
              <w:bottom w:val="single" w:sz="4" w:space="0" w:color="auto"/>
              <w:right w:val="single" w:sz="4" w:space="0" w:color="auto"/>
            </w:tcBorders>
            <w:noWrap/>
            <w:hideMark/>
          </w:tcPr>
          <w:p w14:paraId="5BFDC219" w14:textId="77777777" w:rsidR="0041570C" w:rsidRDefault="0041570C">
            <w:pPr>
              <w:jc w:val="right"/>
              <w:rPr>
                <w:rFonts w:cs="Arial"/>
                <w:color w:val="000000"/>
                <w:lang w:eastAsia="en-GB"/>
              </w:rPr>
            </w:pPr>
            <w:r>
              <w:rPr>
                <w:rFonts w:cs="Arial"/>
                <w:color w:val="000000"/>
                <w:lang w:eastAsia="en-GB"/>
              </w:rPr>
              <w:t>4.00%</w:t>
            </w:r>
          </w:p>
        </w:tc>
      </w:tr>
      <w:tr w:rsidR="0041570C" w14:paraId="207002B0" w14:textId="77777777" w:rsidTr="0041570C">
        <w:trPr>
          <w:trHeight w:val="285"/>
        </w:trPr>
        <w:tc>
          <w:tcPr>
            <w:tcW w:w="1589" w:type="pct"/>
            <w:tcBorders>
              <w:top w:val="single" w:sz="4" w:space="0" w:color="auto"/>
              <w:left w:val="single" w:sz="4" w:space="0" w:color="auto"/>
              <w:bottom w:val="single" w:sz="4" w:space="0" w:color="auto"/>
              <w:right w:val="single" w:sz="4" w:space="0" w:color="auto"/>
            </w:tcBorders>
          </w:tcPr>
          <w:p w14:paraId="3B6C094C" w14:textId="77777777" w:rsidR="0041570C" w:rsidRDefault="0041570C">
            <w:pPr>
              <w:jc w:val="right"/>
              <w:rPr>
                <w:rFonts w:cs="Arial"/>
                <w:color w:val="000000"/>
                <w:lang w:eastAsia="en-GB"/>
              </w:rPr>
            </w:pPr>
          </w:p>
        </w:tc>
        <w:tc>
          <w:tcPr>
            <w:tcW w:w="1632" w:type="pct"/>
            <w:tcBorders>
              <w:top w:val="single" w:sz="4" w:space="0" w:color="auto"/>
              <w:left w:val="single" w:sz="4" w:space="0" w:color="auto"/>
              <w:bottom w:val="single" w:sz="4" w:space="0" w:color="auto"/>
              <w:right w:val="single" w:sz="4" w:space="0" w:color="auto"/>
            </w:tcBorders>
            <w:noWrap/>
            <w:hideMark/>
          </w:tcPr>
          <w:p w14:paraId="3AAD837F" w14:textId="77777777" w:rsidR="0041570C" w:rsidRDefault="0041570C">
            <w:pPr>
              <w:rPr>
                <w:rFonts w:cs="Arial"/>
                <w:color w:val="000000"/>
                <w:lang w:eastAsia="en-GB"/>
              </w:rPr>
            </w:pPr>
          </w:p>
        </w:tc>
        <w:tc>
          <w:tcPr>
            <w:tcW w:w="780" w:type="pct"/>
            <w:tcBorders>
              <w:top w:val="single" w:sz="4" w:space="0" w:color="auto"/>
              <w:left w:val="single" w:sz="4" w:space="0" w:color="auto"/>
              <w:bottom w:val="single" w:sz="4" w:space="0" w:color="auto"/>
              <w:right w:val="single" w:sz="4" w:space="0" w:color="auto"/>
            </w:tcBorders>
            <w:noWrap/>
            <w:hideMark/>
          </w:tcPr>
          <w:p w14:paraId="2D9A85A4" w14:textId="77777777" w:rsidR="0041570C" w:rsidRDefault="0041570C">
            <w:pPr>
              <w:jc w:val="right"/>
              <w:rPr>
                <w:rFonts w:cs="Arial"/>
                <w:color w:val="000000"/>
                <w:sz w:val="22"/>
                <w:szCs w:val="22"/>
                <w:lang w:eastAsia="en-GB"/>
              </w:rPr>
            </w:pPr>
            <w:r>
              <w:rPr>
                <w:rFonts w:cs="Arial"/>
                <w:color w:val="000000"/>
                <w:lang w:eastAsia="en-GB"/>
              </w:rPr>
              <w:t>100%</w:t>
            </w:r>
          </w:p>
        </w:tc>
        <w:tc>
          <w:tcPr>
            <w:tcW w:w="999" w:type="pct"/>
            <w:tcBorders>
              <w:top w:val="single" w:sz="4" w:space="0" w:color="auto"/>
              <w:left w:val="single" w:sz="4" w:space="0" w:color="auto"/>
              <w:bottom w:val="single" w:sz="4" w:space="0" w:color="auto"/>
              <w:right w:val="single" w:sz="4" w:space="0" w:color="auto"/>
            </w:tcBorders>
            <w:noWrap/>
            <w:hideMark/>
          </w:tcPr>
          <w:p w14:paraId="1C05AAA3" w14:textId="77777777" w:rsidR="0041570C" w:rsidRDefault="0041570C">
            <w:pPr>
              <w:jc w:val="right"/>
              <w:rPr>
                <w:rFonts w:cs="Arial"/>
                <w:color w:val="000000"/>
                <w:lang w:eastAsia="en-GB"/>
              </w:rPr>
            </w:pPr>
            <w:r>
              <w:rPr>
                <w:rFonts w:cs="Arial"/>
                <w:color w:val="000000"/>
                <w:lang w:eastAsia="en-GB"/>
              </w:rPr>
              <w:t>0.69%</w:t>
            </w:r>
          </w:p>
        </w:tc>
      </w:tr>
    </w:tbl>
    <w:p w14:paraId="0423DAC1" w14:textId="77777777" w:rsidR="0041570C" w:rsidRDefault="0041570C" w:rsidP="0041570C">
      <w:pPr>
        <w:autoSpaceDE w:val="0"/>
        <w:autoSpaceDN w:val="0"/>
        <w:adjustRightInd w:val="0"/>
        <w:jc w:val="both"/>
        <w:rPr>
          <w:rFonts w:cs="Arial"/>
          <w:szCs w:val="24"/>
          <w:lang w:eastAsia="en-GB"/>
        </w:rPr>
      </w:pPr>
    </w:p>
    <w:p w14:paraId="6E8BD628" w14:textId="77777777" w:rsidR="0041570C" w:rsidRDefault="0041570C" w:rsidP="0041570C">
      <w:pPr>
        <w:autoSpaceDE w:val="0"/>
        <w:autoSpaceDN w:val="0"/>
        <w:adjustRightInd w:val="0"/>
        <w:jc w:val="both"/>
        <w:rPr>
          <w:rFonts w:cs="Arial"/>
          <w:szCs w:val="24"/>
          <w:lang w:eastAsia="en-GB"/>
        </w:rPr>
      </w:pPr>
      <w:r>
        <w:rPr>
          <w:rFonts w:cs="Arial"/>
          <w:szCs w:val="24"/>
          <w:lang w:eastAsia="en-GB"/>
        </w:rPr>
        <w:t>This is subject to collective agreement by the participating authorities, currently the GLA, the London Fire Commissioner (LFC), the Mayor’s Office for Policing and Crime (MOPAC), the London Legacy Development Corporation (LLDC) and the London Pensions Fund Authority (LPFA). Should the Council join, agreeing the strategy with the other participants is delegated to the Director of Finance, provided the limits in Table 1 are not exceeded.</w:t>
      </w:r>
    </w:p>
    <w:p w14:paraId="05A3B7A4" w14:textId="77777777" w:rsidR="0041570C" w:rsidRDefault="0041570C" w:rsidP="0041570C">
      <w:pPr>
        <w:autoSpaceDE w:val="0"/>
        <w:autoSpaceDN w:val="0"/>
        <w:adjustRightInd w:val="0"/>
        <w:jc w:val="both"/>
        <w:rPr>
          <w:rFonts w:cs="Arial"/>
          <w:szCs w:val="24"/>
          <w:lang w:eastAsia="en-GB"/>
        </w:rPr>
      </w:pPr>
    </w:p>
    <w:p w14:paraId="74C8D2D6" w14:textId="77777777" w:rsidR="0041570C" w:rsidRDefault="0041570C" w:rsidP="0041570C">
      <w:pPr>
        <w:autoSpaceDE w:val="0"/>
        <w:autoSpaceDN w:val="0"/>
        <w:adjustRightInd w:val="0"/>
        <w:jc w:val="both"/>
        <w:rPr>
          <w:rFonts w:cs="Arial"/>
          <w:szCs w:val="24"/>
          <w:lang w:eastAsia="en-GB"/>
        </w:rPr>
      </w:pPr>
      <w:r>
        <w:rPr>
          <w:rFonts w:cs="Arial"/>
          <w:szCs w:val="24"/>
          <w:lang w:eastAsia="en-GB"/>
        </w:rPr>
        <w:t>Subject to the above, this strategy authorises the Director of Finance to invest up to 100% of cash alongside the GLA and also delegates the legal form of such investment to the Director, provided the underlying risk and reward reflects approved instruments.</w:t>
      </w:r>
    </w:p>
    <w:p w14:paraId="574D47CA" w14:textId="77777777" w:rsidR="0041570C" w:rsidRDefault="0041570C" w:rsidP="0041570C">
      <w:pPr>
        <w:autoSpaceDE w:val="0"/>
        <w:autoSpaceDN w:val="0"/>
        <w:adjustRightInd w:val="0"/>
        <w:jc w:val="both"/>
        <w:rPr>
          <w:rFonts w:cs="Arial"/>
          <w:szCs w:val="24"/>
          <w:lang w:eastAsia="en-GB"/>
        </w:rPr>
      </w:pPr>
    </w:p>
    <w:p w14:paraId="4AC7E786" w14:textId="77777777" w:rsidR="0041570C" w:rsidRDefault="0041570C" w:rsidP="0041570C">
      <w:pPr>
        <w:rPr>
          <w:rFonts w:eastAsiaTheme="minorHAnsi" w:cs="Arial"/>
          <w:szCs w:val="24"/>
        </w:rPr>
      </w:pPr>
    </w:p>
    <w:tbl>
      <w:tblPr>
        <w:tblStyle w:val="TableGrid"/>
        <w:tblW w:w="0" w:type="auto"/>
        <w:tblLook w:val="04A0" w:firstRow="1" w:lastRow="0" w:firstColumn="1" w:lastColumn="0" w:noHBand="0" w:noVBand="1"/>
      </w:tblPr>
      <w:tblGrid>
        <w:gridCol w:w="1858"/>
        <w:gridCol w:w="1836"/>
        <w:gridCol w:w="1533"/>
        <w:gridCol w:w="1419"/>
        <w:gridCol w:w="1659"/>
      </w:tblGrid>
      <w:tr w:rsidR="0041570C" w14:paraId="39CD69A0" w14:textId="77777777" w:rsidTr="0041570C">
        <w:trPr>
          <w:cantSplit/>
          <w:tblHeader/>
        </w:trPr>
        <w:tc>
          <w:tcPr>
            <w:tcW w:w="2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09E308" w14:textId="77777777" w:rsidR="0041570C" w:rsidRDefault="0041570C">
            <w:pPr>
              <w:keepLines/>
              <w:spacing w:before="120" w:after="120"/>
              <w:contextualSpacing/>
              <w:rPr>
                <w:rFonts w:cs="Arial"/>
                <w:b/>
                <w:bCs/>
                <w:szCs w:val="24"/>
              </w:rPr>
            </w:pPr>
            <w:r>
              <w:rPr>
                <w:rFonts w:cs="Arial"/>
                <w:b/>
                <w:bCs/>
                <w:szCs w:val="24"/>
              </w:rPr>
              <w:br w:type="page"/>
              <w:t>Investment type</w:t>
            </w:r>
          </w:p>
        </w:tc>
        <w:tc>
          <w:tcPr>
            <w:tcW w:w="2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57A491" w14:textId="77777777" w:rsidR="0041570C" w:rsidRDefault="0041570C">
            <w:pPr>
              <w:keepLines/>
              <w:spacing w:before="120" w:after="120"/>
              <w:contextualSpacing/>
              <w:rPr>
                <w:rFonts w:cs="Arial"/>
                <w:b/>
                <w:bCs/>
                <w:szCs w:val="24"/>
              </w:rPr>
            </w:pPr>
            <w:r>
              <w:rPr>
                <w:rFonts w:cs="Arial"/>
                <w:b/>
                <w:bCs/>
                <w:szCs w:val="24"/>
              </w:rPr>
              <w:t>Eligibility criteria</w:t>
            </w:r>
          </w:p>
        </w:tc>
        <w:tc>
          <w:tcPr>
            <w:tcW w:w="1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510F7D" w14:textId="77777777" w:rsidR="0041570C" w:rsidRDefault="0041570C">
            <w:pPr>
              <w:keepLines/>
              <w:spacing w:before="120" w:after="120"/>
              <w:contextualSpacing/>
              <w:rPr>
                <w:rFonts w:cs="Arial"/>
                <w:b/>
                <w:bCs/>
                <w:szCs w:val="24"/>
              </w:rPr>
            </w:pPr>
            <w:r>
              <w:rPr>
                <w:rFonts w:cs="Arial"/>
                <w:b/>
                <w:bCs/>
                <w:szCs w:val="24"/>
              </w:rPr>
              <w:t>≤ 1 year to maturity at time of investment</w:t>
            </w:r>
          </w:p>
        </w:tc>
        <w:tc>
          <w:tcPr>
            <w:tcW w:w="1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CC0CD2" w14:textId="77777777" w:rsidR="0041570C" w:rsidRDefault="0041570C">
            <w:pPr>
              <w:keepLines/>
              <w:spacing w:before="120" w:after="120"/>
              <w:contextualSpacing/>
              <w:rPr>
                <w:rFonts w:cs="Arial"/>
                <w:b/>
                <w:bCs/>
                <w:szCs w:val="24"/>
                <w:lang w:eastAsia="en-GB"/>
              </w:rPr>
            </w:pPr>
            <w:r>
              <w:rPr>
                <w:rFonts w:cs="Arial"/>
                <w:b/>
                <w:bCs/>
                <w:szCs w:val="24"/>
                <w:lang w:eastAsia="en-GB"/>
              </w:rPr>
              <w:t>&gt; 1 year to maturity at time of investment</w:t>
            </w:r>
          </w:p>
        </w:tc>
        <w:tc>
          <w:tcPr>
            <w:tcW w:w="1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14B76B" w14:textId="77777777" w:rsidR="0041570C" w:rsidRDefault="0041570C">
            <w:pPr>
              <w:keepLines/>
              <w:spacing w:before="120" w:after="120"/>
              <w:contextualSpacing/>
              <w:rPr>
                <w:rFonts w:cs="Arial"/>
                <w:b/>
                <w:bCs/>
                <w:szCs w:val="24"/>
                <w:lang w:eastAsia="en-GB"/>
              </w:rPr>
            </w:pPr>
            <w:r>
              <w:rPr>
                <w:rFonts w:cs="Arial"/>
                <w:b/>
                <w:bCs/>
                <w:szCs w:val="24"/>
                <w:lang w:eastAsia="en-GB"/>
              </w:rPr>
              <w:t>Maximum total exposure as a proportion of forecast daily balance</w:t>
            </w:r>
          </w:p>
        </w:tc>
      </w:tr>
      <w:tr w:rsidR="0041570C" w14:paraId="29B3A379" w14:textId="77777777" w:rsidTr="0041570C">
        <w:tc>
          <w:tcPr>
            <w:tcW w:w="2049" w:type="dxa"/>
            <w:tcBorders>
              <w:top w:val="single" w:sz="4" w:space="0" w:color="auto"/>
              <w:left w:val="single" w:sz="4" w:space="0" w:color="auto"/>
              <w:bottom w:val="single" w:sz="4" w:space="0" w:color="auto"/>
              <w:right w:val="single" w:sz="4" w:space="0" w:color="auto"/>
            </w:tcBorders>
            <w:hideMark/>
          </w:tcPr>
          <w:p w14:paraId="1859EC3B" w14:textId="77777777" w:rsidR="0041570C" w:rsidRDefault="0041570C">
            <w:pPr>
              <w:keepLines/>
              <w:spacing w:before="120" w:after="120"/>
              <w:contextualSpacing/>
              <w:rPr>
                <w:rFonts w:cs="Arial"/>
                <w:b/>
                <w:bCs/>
                <w:szCs w:val="24"/>
              </w:rPr>
            </w:pPr>
            <w:r>
              <w:rPr>
                <w:rFonts w:cs="Arial"/>
                <w:b/>
                <w:bCs/>
                <w:szCs w:val="24"/>
              </w:rPr>
              <w:t>Senior Unsecured Debt, e.g.</w:t>
            </w:r>
          </w:p>
          <w:p w14:paraId="4CC84363" w14:textId="77777777" w:rsidR="0041570C" w:rsidRDefault="0041570C" w:rsidP="0041570C">
            <w:pPr>
              <w:keepLines/>
              <w:numPr>
                <w:ilvl w:val="0"/>
                <w:numId w:val="69"/>
              </w:numPr>
              <w:spacing w:before="120" w:after="120"/>
              <w:ind w:left="357" w:hanging="357"/>
              <w:contextualSpacing/>
              <w:rPr>
                <w:rFonts w:cs="Arial"/>
                <w:b/>
                <w:bCs/>
                <w:szCs w:val="24"/>
              </w:rPr>
            </w:pPr>
            <w:r>
              <w:rPr>
                <w:rFonts w:cs="Arial"/>
                <w:b/>
                <w:bCs/>
                <w:szCs w:val="24"/>
              </w:rPr>
              <w:t>Deposits</w:t>
            </w:r>
          </w:p>
          <w:p w14:paraId="39CE1065" w14:textId="77777777" w:rsidR="0041570C" w:rsidRDefault="0041570C" w:rsidP="0041570C">
            <w:pPr>
              <w:keepLines/>
              <w:numPr>
                <w:ilvl w:val="0"/>
                <w:numId w:val="69"/>
              </w:numPr>
              <w:spacing w:before="120" w:after="120"/>
              <w:ind w:left="357" w:hanging="357"/>
              <w:contextualSpacing/>
              <w:rPr>
                <w:rFonts w:cs="Arial"/>
                <w:b/>
                <w:bCs/>
                <w:szCs w:val="24"/>
              </w:rPr>
            </w:pPr>
            <w:r>
              <w:rPr>
                <w:rFonts w:cs="Arial"/>
                <w:b/>
                <w:bCs/>
                <w:szCs w:val="24"/>
              </w:rPr>
              <w:t>Call Accounts</w:t>
            </w:r>
          </w:p>
          <w:p w14:paraId="3157CDF5" w14:textId="77777777" w:rsidR="0041570C" w:rsidRDefault="0041570C" w:rsidP="0041570C">
            <w:pPr>
              <w:keepLines/>
              <w:numPr>
                <w:ilvl w:val="0"/>
                <w:numId w:val="69"/>
              </w:numPr>
              <w:spacing w:before="120" w:after="120"/>
              <w:ind w:left="357" w:hanging="357"/>
              <w:contextualSpacing/>
              <w:rPr>
                <w:rFonts w:cs="Arial"/>
                <w:b/>
                <w:bCs/>
                <w:szCs w:val="24"/>
              </w:rPr>
            </w:pPr>
            <w:r>
              <w:rPr>
                <w:rFonts w:cs="Arial"/>
                <w:b/>
                <w:bCs/>
                <w:szCs w:val="24"/>
              </w:rPr>
              <w:t>Notice Accounts</w:t>
            </w:r>
          </w:p>
          <w:p w14:paraId="1084ECA0" w14:textId="77777777" w:rsidR="0041570C" w:rsidRDefault="0041570C" w:rsidP="0041570C">
            <w:pPr>
              <w:keepLines/>
              <w:numPr>
                <w:ilvl w:val="0"/>
                <w:numId w:val="69"/>
              </w:numPr>
              <w:spacing w:before="120" w:after="120"/>
              <w:ind w:left="357" w:hanging="357"/>
              <w:contextualSpacing/>
              <w:rPr>
                <w:rFonts w:cs="Arial"/>
                <w:b/>
                <w:bCs/>
                <w:szCs w:val="24"/>
              </w:rPr>
            </w:pPr>
            <w:r>
              <w:rPr>
                <w:rFonts w:cs="Arial"/>
                <w:b/>
                <w:bCs/>
                <w:szCs w:val="24"/>
              </w:rPr>
              <w:t>Certificates of Deposit</w:t>
            </w:r>
          </w:p>
          <w:p w14:paraId="56766794" w14:textId="77777777" w:rsidR="0041570C" w:rsidRDefault="0041570C" w:rsidP="0041570C">
            <w:pPr>
              <w:keepLines/>
              <w:numPr>
                <w:ilvl w:val="0"/>
                <w:numId w:val="69"/>
              </w:numPr>
              <w:spacing w:before="120" w:after="120"/>
              <w:ind w:left="357" w:hanging="357"/>
              <w:contextualSpacing/>
              <w:rPr>
                <w:rFonts w:cs="Arial"/>
                <w:b/>
                <w:bCs/>
                <w:szCs w:val="24"/>
              </w:rPr>
            </w:pPr>
            <w:r>
              <w:rPr>
                <w:rFonts w:cs="Arial"/>
                <w:b/>
                <w:bCs/>
                <w:szCs w:val="24"/>
              </w:rPr>
              <w:t>Loans</w:t>
            </w:r>
          </w:p>
          <w:p w14:paraId="17706E1D" w14:textId="77777777" w:rsidR="0041570C" w:rsidRDefault="0041570C" w:rsidP="0041570C">
            <w:pPr>
              <w:keepLines/>
              <w:numPr>
                <w:ilvl w:val="0"/>
                <w:numId w:val="69"/>
              </w:numPr>
              <w:spacing w:before="120" w:after="120"/>
              <w:ind w:left="357" w:hanging="357"/>
              <w:contextualSpacing/>
              <w:rPr>
                <w:rFonts w:cs="Arial"/>
                <w:b/>
                <w:bCs/>
                <w:szCs w:val="24"/>
              </w:rPr>
            </w:pPr>
            <w:r>
              <w:rPr>
                <w:rFonts w:cs="Arial"/>
                <w:b/>
                <w:bCs/>
                <w:szCs w:val="24"/>
              </w:rPr>
              <w:t xml:space="preserve">Commercial Paper </w:t>
            </w:r>
          </w:p>
          <w:p w14:paraId="4F3CFDBD" w14:textId="77777777" w:rsidR="0041570C" w:rsidRDefault="0041570C" w:rsidP="0041570C">
            <w:pPr>
              <w:keepLines/>
              <w:numPr>
                <w:ilvl w:val="0"/>
                <w:numId w:val="69"/>
              </w:numPr>
              <w:spacing w:before="120" w:after="120"/>
              <w:ind w:left="357" w:hanging="357"/>
              <w:contextualSpacing/>
              <w:rPr>
                <w:rFonts w:cs="Arial"/>
                <w:b/>
                <w:bCs/>
                <w:szCs w:val="24"/>
              </w:rPr>
            </w:pPr>
            <w:r>
              <w:rPr>
                <w:rFonts w:cs="Arial"/>
                <w:b/>
                <w:bCs/>
                <w:szCs w:val="24"/>
              </w:rPr>
              <w:t>UK Gilts and T-Bills</w:t>
            </w:r>
          </w:p>
          <w:p w14:paraId="71DF2621" w14:textId="77777777" w:rsidR="0041570C" w:rsidRDefault="0041570C" w:rsidP="0041570C">
            <w:pPr>
              <w:keepLines/>
              <w:numPr>
                <w:ilvl w:val="0"/>
                <w:numId w:val="69"/>
              </w:numPr>
              <w:spacing w:before="120" w:after="120"/>
              <w:ind w:left="357" w:hanging="357"/>
              <w:contextualSpacing/>
              <w:rPr>
                <w:rFonts w:cs="Arial"/>
                <w:b/>
                <w:bCs/>
                <w:szCs w:val="24"/>
              </w:rPr>
            </w:pPr>
            <w:r>
              <w:rPr>
                <w:rFonts w:cs="Arial"/>
                <w:b/>
                <w:bCs/>
                <w:szCs w:val="24"/>
              </w:rPr>
              <w:t>All other senior unsecured bonds</w:t>
            </w:r>
          </w:p>
        </w:tc>
        <w:tc>
          <w:tcPr>
            <w:tcW w:w="2142" w:type="dxa"/>
            <w:tcBorders>
              <w:top w:val="single" w:sz="4" w:space="0" w:color="auto"/>
              <w:left w:val="single" w:sz="4" w:space="0" w:color="auto"/>
              <w:bottom w:val="single" w:sz="4" w:space="0" w:color="auto"/>
              <w:right w:val="single" w:sz="4" w:space="0" w:color="auto"/>
            </w:tcBorders>
          </w:tcPr>
          <w:p w14:paraId="18C6C477" w14:textId="77777777" w:rsidR="0041570C" w:rsidRDefault="0041570C">
            <w:pPr>
              <w:keepLines/>
              <w:spacing w:before="120" w:after="120"/>
              <w:contextualSpacing/>
              <w:rPr>
                <w:rFonts w:cs="Arial"/>
                <w:szCs w:val="24"/>
              </w:rPr>
            </w:pPr>
            <w:r>
              <w:rPr>
                <w:rFonts w:cs="Arial"/>
                <w:szCs w:val="24"/>
              </w:rPr>
              <w:t xml:space="preserve">Issuer (and security where separately rated) Investment Grade (IG) defined per </w:t>
            </w:r>
            <w:r>
              <w:rPr>
                <w:rFonts w:cs="Arial"/>
                <w:b/>
                <w:bCs/>
                <w:szCs w:val="24"/>
              </w:rPr>
              <w:t>Table 3</w:t>
            </w:r>
          </w:p>
          <w:p w14:paraId="1C6BC21B" w14:textId="77777777" w:rsidR="0041570C" w:rsidRDefault="0041570C">
            <w:pPr>
              <w:keepLines/>
              <w:spacing w:before="120" w:after="120"/>
              <w:contextualSpacing/>
              <w:rPr>
                <w:rFonts w:cs="Arial"/>
                <w:szCs w:val="24"/>
              </w:rPr>
            </w:pPr>
          </w:p>
          <w:p w14:paraId="6D02341D" w14:textId="77777777" w:rsidR="0041570C" w:rsidRDefault="0041570C">
            <w:pPr>
              <w:keepLines/>
              <w:spacing w:before="120" w:after="120"/>
              <w:contextualSpacing/>
              <w:rPr>
                <w:rFonts w:cs="Arial"/>
                <w:szCs w:val="24"/>
              </w:rPr>
            </w:pPr>
            <w:r>
              <w:rPr>
                <w:rFonts w:cs="Arial"/>
                <w:szCs w:val="24"/>
              </w:rPr>
              <w:t>OR</w:t>
            </w:r>
          </w:p>
          <w:p w14:paraId="0896201E" w14:textId="77777777" w:rsidR="0041570C" w:rsidRDefault="0041570C">
            <w:pPr>
              <w:keepLines/>
              <w:spacing w:before="120" w:after="120"/>
              <w:contextualSpacing/>
              <w:rPr>
                <w:rFonts w:cs="Arial"/>
                <w:szCs w:val="24"/>
              </w:rPr>
            </w:pPr>
          </w:p>
          <w:p w14:paraId="025AE1D0" w14:textId="77777777" w:rsidR="0041570C" w:rsidRDefault="0041570C">
            <w:pPr>
              <w:keepLines/>
              <w:spacing w:before="120" w:after="120"/>
              <w:contextualSpacing/>
              <w:rPr>
                <w:rFonts w:cs="Arial"/>
                <w:szCs w:val="24"/>
              </w:rPr>
            </w:pPr>
            <w:r>
              <w:rPr>
                <w:rFonts w:cs="Arial"/>
                <w:szCs w:val="24"/>
              </w:rPr>
              <w:t>UK Government (including the Debt Management Account Deposit Facility, Local Authorities and bodies eligible for PWLB finance)</w:t>
            </w:r>
          </w:p>
          <w:p w14:paraId="7395A3E7" w14:textId="77777777" w:rsidR="0041570C" w:rsidRDefault="0041570C">
            <w:pPr>
              <w:keepLines/>
              <w:spacing w:before="120" w:after="120"/>
              <w:contextualSpacing/>
              <w:rPr>
                <w:rFonts w:cs="Arial"/>
                <w:szCs w:val="24"/>
              </w:rPr>
            </w:pPr>
          </w:p>
          <w:p w14:paraId="4EBDCFBA" w14:textId="77777777" w:rsidR="0041570C" w:rsidRDefault="0041570C">
            <w:pPr>
              <w:keepLines/>
              <w:spacing w:before="120" w:after="120"/>
              <w:contextualSpacing/>
              <w:rPr>
                <w:rFonts w:cs="Arial"/>
                <w:szCs w:val="24"/>
              </w:rPr>
            </w:pPr>
            <w:r>
              <w:rPr>
                <w:rFonts w:cs="Arial"/>
                <w:szCs w:val="24"/>
              </w:rPr>
              <w:t>OR</w:t>
            </w:r>
          </w:p>
          <w:p w14:paraId="62D6F83F" w14:textId="77777777" w:rsidR="0041570C" w:rsidRDefault="0041570C">
            <w:pPr>
              <w:keepLines/>
              <w:spacing w:before="120" w:after="120"/>
              <w:contextualSpacing/>
              <w:rPr>
                <w:rFonts w:cs="Arial"/>
                <w:szCs w:val="24"/>
              </w:rPr>
            </w:pPr>
          </w:p>
          <w:p w14:paraId="6BFE7561" w14:textId="77777777" w:rsidR="0041570C" w:rsidRDefault="0041570C">
            <w:pPr>
              <w:keepLines/>
              <w:spacing w:before="120" w:after="120"/>
              <w:contextualSpacing/>
              <w:rPr>
                <w:rFonts w:cs="Arial"/>
                <w:szCs w:val="24"/>
              </w:rPr>
            </w:pPr>
            <w:r>
              <w:rPr>
                <w:rFonts w:cs="Arial"/>
                <w:szCs w:val="24"/>
              </w:rPr>
              <w:lastRenderedPageBreak/>
              <w:t xml:space="preserve">Issuer not meeting general criteria but instruments explicitly guaranteed by IG entity or sovereign national government meeting acceptable sovereign ratings per </w:t>
            </w:r>
            <w:r>
              <w:rPr>
                <w:rFonts w:cs="Arial"/>
                <w:b/>
                <w:bCs/>
                <w:szCs w:val="24"/>
              </w:rPr>
              <w:t>Table 2</w:t>
            </w:r>
            <w:r>
              <w:rPr>
                <w:rFonts w:cs="Arial"/>
                <w:szCs w:val="24"/>
              </w:rPr>
              <w:t xml:space="preserve">.  </w:t>
            </w:r>
          </w:p>
        </w:tc>
        <w:tc>
          <w:tcPr>
            <w:tcW w:w="1604" w:type="dxa"/>
            <w:tcBorders>
              <w:top w:val="single" w:sz="4" w:space="0" w:color="auto"/>
              <w:left w:val="single" w:sz="4" w:space="0" w:color="auto"/>
              <w:bottom w:val="single" w:sz="4" w:space="0" w:color="auto"/>
              <w:right w:val="single" w:sz="4" w:space="0" w:color="auto"/>
            </w:tcBorders>
            <w:hideMark/>
          </w:tcPr>
          <w:p w14:paraId="1BEA0B0B" w14:textId="77777777" w:rsidR="0041570C" w:rsidRDefault="0041570C">
            <w:pPr>
              <w:keepLines/>
              <w:spacing w:before="120" w:after="120"/>
              <w:contextualSpacing/>
              <w:rPr>
                <w:rFonts w:cs="Arial"/>
                <w:szCs w:val="24"/>
              </w:rPr>
            </w:pPr>
            <w:r>
              <w:rPr>
                <w:rFonts w:cs="Arial"/>
                <w:szCs w:val="24"/>
              </w:rPr>
              <w:lastRenderedPageBreak/>
              <w:t>S</w:t>
            </w:r>
          </w:p>
        </w:tc>
        <w:tc>
          <w:tcPr>
            <w:tcW w:w="1484" w:type="dxa"/>
            <w:tcBorders>
              <w:top w:val="single" w:sz="4" w:space="0" w:color="auto"/>
              <w:left w:val="single" w:sz="4" w:space="0" w:color="auto"/>
              <w:bottom w:val="single" w:sz="4" w:space="0" w:color="auto"/>
              <w:right w:val="single" w:sz="4" w:space="0" w:color="auto"/>
            </w:tcBorders>
            <w:hideMark/>
          </w:tcPr>
          <w:p w14:paraId="7CB661C2" w14:textId="77777777" w:rsidR="0041570C" w:rsidRDefault="0041570C">
            <w:pPr>
              <w:keepLines/>
              <w:spacing w:before="120" w:after="120"/>
              <w:contextualSpacing/>
              <w:rPr>
                <w:rFonts w:cs="Arial"/>
                <w:szCs w:val="24"/>
              </w:rPr>
            </w:pPr>
            <w:r>
              <w:rPr>
                <w:rFonts w:cs="Arial"/>
                <w:szCs w:val="24"/>
              </w:rPr>
              <w:t>NS</w:t>
            </w:r>
          </w:p>
        </w:tc>
        <w:tc>
          <w:tcPr>
            <w:tcW w:w="1737" w:type="dxa"/>
            <w:tcBorders>
              <w:top w:val="single" w:sz="4" w:space="0" w:color="auto"/>
              <w:left w:val="single" w:sz="4" w:space="0" w:color="auto"/>
              <w:bottom w:val="single" w:sz="4" w:space="0" w:color="auto"/>
              <w:right w:val="single" w:sz="4" w:space="0" w:color="auto"/>
            </w:tcBorders>
            <w:hideMark/>
          </w:tcPr>
          <w:p w14:paraId="7BD15B97" w14:textId="77777777" w:rsidR="0041570C" w:rsidRDefault="0041570C">
            <w:pPr>
              <w:keepLines/>
              <w:spacing w:before="120" w:after="120"/>
              <w:contextualSpacing/>
              <w:rPr>
                <w:rFonts w:cs="Arial"/>
                <w:szCs w:val="24"/>
              </w:rPr>
            </w:pPr>
            <w:r>
              <w:rPr>
                <w:rFonts w:cs="Arial"/>
                <w:szCs w:val="24"/>
              </w:rPr>
              <w:t xml:space="preserve">Aggregate 100%, individual limits determined by tables </w:t>
            </w:r>
          </w:p>
        </w:tc>
      </w:tr>
      <w:tr w:rsidR="0041570C" w14:paraId="49040D9A" w14:textId="77777777" w:rsidTr="0041570C">
        <w:tc>
          <w:tcPr>
            <w:tcW w:w="2049" w:type="dxa"/>
            <w:tcBorders>
              <w:top w:val="single" w:sz="4" w:space="0" w:color="auto"/>
              <w:left w:val="single" w:sz="4" w:space="0" w:color="auto"/>
              <w:bottom w:val="single" w:sz="4" w:space="0" w:color="auto"/>
              <w:right w:val="single" w:sz="4" w:space="0" w:color="auto"/>
            </w:tcBorders>
            <w:hideMark/>
          </w:tcPr>
          <w:p w14:paraId="6B9316EC" w14:textId="77777777" w:rsidR="0041570C" w:rsidRDefault="0041570C">
            <w:pPr>
              <w:keepLines/>
              <w:spacing w:before="120" w:after="120"/>
              <w:contextualSpacing/>
              <w:rPr>
                <w:rFonts w:cs="Arial"/>
                <w:b/>
                <w:bCs/>
                <w:szCs w:val="24"/>
              </w:rPr>
            </w:pPr>
            <w:r>
              <w:rPr>
                <w:rFonts w:cs="Arial"/>
                <w:b/>
                <w:bCs/>
                <w:szCs w:val="24"/>
              </w:rPr>
              <w:t xml:space="preserve">Money Market Funds </w:t>
            </w:r>
          </w:p>
        </w:tc>
        <w:tc>
          <w:tcPr>
            <w:tcW w:w="2142" w:type="dxa"/>
            <w:tcBorders>
              <w:top w:val="single" w:sz="4" w:space="0" w:color="auto"/>
              <w:left w:val="single" w:sz="4" w:space="0" w:color="auto"/>
              <w:bottom w:val="single" w:sz="4" w:space="0" w:color="auto"/>
              <w:right w:val="single" w:sz="4" w:space="0" w:color="auto"/>
            </w:tcBorders>
          </w:tcPr>
          <w:p w14:paraId="04E33DE5" w14:textId="77777777" w:rsidR="0041570C" w:rsidRDefault="0041570C">
            <w:pPr>
              <w:keepLines/>
              <w:spacing w:before="120" w:after="120"/>
              <w:contextualSpacing/>
              <w:rPr>
                <w:rFonts w:cs="Arial"/>
                <w:szCs w:val="24"/>
              </w:rPr>
            </w:pPr>
            <w:r>
              <w:rPr>
                <w:rFonts w:cs="Arial"/>
                <w:szCs w:val="24"/>
              </w:rPr>
              <w:t>Fitch AAA</w:t>
            </w:r>
            <w:r>
              <w:rPr>
                <w:rFonts w:cs="Arial"/>
                <w:szCs w:val="24"/>
                <w:vertAlign w:val="subscript"/>
              </w:rPr>
              <w:t xml:space="preserve">mmf </w:t>
            </w:r>
            <w:r>
              <w:rPr>
                <w:rFonts w:cs="Arial"/>
                <w:szCs w:val="24"/>
              </w:rPr>
              <w:t>or above</w:t>
            </w:r>
          </w:p>
          <w:p w14:paraId="1CCA2BDF" w14:textId="77777777" w:rsidR="0041570C" w:rsidRDefault="0041570C">
            <w:pPr>
              <w:keepLines/>
              <w:spacing w:before="120" w:after="120"/>
              <w:contextualSpacing/>
              <w:rPr>
                <w:rFonts w:cs="Arial"/>
                <w:szCs w:val="24"/>
              </w:rPr>
            </w:pPr>
            <w:r>
              <w:rPr>
                <w:rFonts w:cs="Arial"/>
                <w:szCs w:val="24"/>
              </w:rPr>
              <w:t xml:space="preserve">See </w:t>
            </w:r>
            <w:r>
              <w:rPr>
                <w:rFonts w:cs="Arial"/>
                <w:b/>
                <w:bCs/>
                <w:szCs w:val="24"/>
              </w:rPr>
              <w:t>Table 3</w:t>
            </w:r>
            <w:r>
              <w:rPr>
                <w:rFonts w:cs="Arial"/>
                <w:szCs w:val="24"/>
              </w:rPr>
              <w:t xml:space="preserve"> for equivalents from other agencies.</w:t>
            </w:r>
          </w:p>
          <w:p w14:paraId="1301CDE6" w14:textId="77777777" w:rsidR="0041570C" w:rsidRDefault="0041570C">
            <w:pPr>
              <w:keepLines/>
              <w:spacing w:before="120" w:after="120"/>
              <w:contextualSpacing/>
              <w:rPr>
                <w:rFonts w:cs="Arial"/>
                <w:szCs w:val="24"/>
              </w:rPr>
            </w:pPr>
          </w:p>
          <w:p w14:paraId="4744B9C2" w14:textId="77777777" w:rsidR="0041570C" w:rsidRDefault="0041570C">
            <w:pPr>
              <w:keepLines/>
              <w:spacing w:before="120" w:after="120"/>
              <w:contextualSpacing/>
              <w:rPr>
                <w:rFonts w:cs="Arial"/>
                <w:szCs w:val="24"/>
              </w:rPr>
            </w:pPr>
            <w:r>
              <w:rPr>
                <w:rFonts w:cs="Arial"/>
                <w:szCs w:val="24"/>
              </w:rPr>
              <w:t>Daily liquidity</w:t>
            </w:r>
          </w:p>
        </w:tc>
        <w:tc>
          <w:tcPr>
            <w:tcW w:w="1604" w:type="dxa"/>
            <w:tcBorders>
              <w:top w:val="single" w:sz="4" w:space="0" w:color="auto"/>
              <w:left w:val="single" w:sz="4" w:space="0" w:color="auto"/>
              <w:bottom w:val="single" w:sz="4" w:space="0" w:color="auto"/>
              <w:right w:val="single" w:sz="4" w:space="0" w:color="auto"/>
            </w:tcBorders>
            <w:hideMark/>
          </w:tcPr>
          <w:p w14:paraId="32973313" w14:textId="77777777" w:rsidR="0041570C" w:rsidRDefault="0041570C">
            <w:pPr>
              <w:keepLines/>
              <w:spacing w:before="120" w:after="120"/>
              <w:contextualSpacing/>
              <w:rPr>
                <w:rFonts w:cs="Arial"/>
                <w:szCs w:val="24"/>
              </w:rPr>
            </w:pPr>
            <w:r>
              <w:rPr>
                <w:rFonts w:cs="Arial"/>
                <w:szCs w:val="24"/>
              </w:rPr>
              <w:t>S</w:t>
            </w:r>
          </w:p>
        </w:tc>
        <w:tc>
          <w:tcPr>
            <w:tcW w:w="1484" w:type="dxa"/>
            <w:tcBorders>
              <w:top w:val="single" w:sz="4" w:space="0" w:color="auto"/>
              <w:left w:val="single" w:sz="4" w:space="0" w:color="auto"/>
              <w:bottom w:val="single" w:sz="4" w:space="0" w:color="auto"/>
              <w:right w:val="single" w:sz="4" w:space="0" w:color="auto"/>
            </w:tcBorders>
            <w:hideMark/>
          </w:tcPr>
          <w:p w14:paraId="6D8F3372" w14:textId="77777777" w:rsidR="0041570C" w:rsidRDefault="0041570C">
            <w:pPr>
              <w:keepLines/>
              <w:spacing w:before="120" w:after="120"/>
              <w:contextualSpacing/>
              <w:rPr>
                <w:rFonts w:cs="Arial"/>
                <w:i/>
                <w:szCs w:val="24"/>
              </w:rPr>
            </w:pPr>
            <w:r>
              <w:rPr>
                <w:rFonts w:cs="Arial"/>
                <w:i/>
                <w:szCs w:val="24"/>
              </w:rPr>
              <w:t>N/A</w:t>
            </w:r>
          </w:p>
        </w:tc>
        <w:tc>
          <w:tcPr>
            <w:tcW w:w="1737" w:type="dxa"/>
            <w:tcBorders>
              <w:top w:val="single" w:sz="4" w:space="0" w:color="auto"/>
              <w:left w:val="single" w:sz="4" w:space="0" w:color="auto"/>
              <w:bottom w:val="single" w:sz="4" w:space="0" w:color="auto"/>
              <w:right w:val="single" w:sz="4" w:space="0" w:color="auto"/>
            </w:tcBorders>
          </w:tcPr>
          <w:p w14:paraId="29B58A8F" w14:textId="77777777" w:rsidR="0041570C" w:rsidRDefault="0041570C">
            <w:pPr>
              <w:keepLines/>
              <w:spacing w:before="120" w:after="120"/>
              <w:contextualSpacing/>
              <w:rPr>
                <w:rFonts w:cs="Arial"/>
                <w:szCs w:val="24"/>
              </w:rPr>
            </w:pPr>
            <w:r>
              <w:rPr>
                <w:rFonts w:cs="Arial"/>
                <w:szCs w:val="24"/>
              </w:rPr>
              <w:t>100%</w:t>
            </w:r>
          </w:p>
          <w:p w14:paraId="34916A64" w14:textId="77777777" w:rsidR="0041570C" w:rsidRDefault="0041570C">
            <w:pPr>
              <w:keepLines/>
              <w:spacing w:before="120" w:after="120"/>
              <w:contextualSpacing/>
              <w:rPr>
                <w:rFonts w:cs="Arial"/>
                <w:i/>
                <w:szCs w:val="24"/>
              </w:rPr>
            </w:pPr>
          </w:p>
          <w:p w14:paraId="49AB3B05" w14:textId="77777777" w:rsidR="0041570C" w:rsidRDefault="0041570C">
            <w:pPr>
              <w:keepLines/>
              <w:spacing w:before="120" w:after="120"/>
              <w:contextualSpacing/>
              <w:rPr>
                <w:rFonts w:cs="Arial"/>
                <w:szCs w:val="24"/>
              </w:rPr>
            </w:pPr>
            <w:r>
              <w:rPr>
                <w:rFonts w:cs="Arial"/>
                <w:i/>
                <w:szCs w:val="24"/>
              </w:rPr>
              <w:t>Not more than 20% per fund</w:t>
            </w:r>
          </w:p>
        </w:tc>
      </w:tr>
      <w:tr w:rsidR="0041570C" w14:paraId="2BFB501D" w14:textId="77777777" w:rsidTr="0041570C">
        <w:tc>
          <w:tcPr>
            <w:tcW w:w="2049" w:type="dxa"/>
            <w:tcBorders>
              <w:top w:val="single" w:sz="4" w:space="0" w:color="auto"/>
              <w:left w:val="single" w:sz="4" w:space="0" w:color="auto"/>
              <w:bottom w:val="single" w:sz="4" w:space="0" w:color="auto"/>
              <w:right w:val="single" w:sz="4" w:space="0" w:color="auto"/>
            </w:tcBorders>
            <w:hideMark/>
          </w:tcPr>
          <w:p w14:paraId="3B8A9E2B" w14:textId="77777777" w:rsidR="0041570C" w:rsidRDefault="0041570C">
            <w:pPr>
              <w:keepLines/>
              <w:spacing w:before="120" w:after="120"/>
              <w:contextualSpacing/>
              <w:rPr>
                <w:rFonts w:cs="Arial"/>
                <w:b/>
                <w:bCs/>
                <w:szCs w:val="24"/>
              </w:rPr>
            </w:pPr>
            <w:r>
              <w:rPr>
                <w:rFonts w:cs="Arial"/>
                <w:b/>
                <w:bCs/>
                <w:szCs w:val="24"/>
              </w:rPr>
              <w:t>Other Collective Investment Schemes e.g. Enhanced Cash Funds</w:t>
            </w:r>
          </w:p>
        </w:tc>
        <w:tc>
          <w:tcPr>
            <w:tcW w:w="2142" w:type="dxa"/>
            <w:tcBorders>
              <w:top w:val="single" w:sz="4" w:space="0" w:color="auto"/>
              <w:left w:val="single" w:sz="4" w:space="0" w:color="auto"/>
              <w:bottom w:val="single" w:sz="4" w:space="0" w:color="auto"/>
              <w:right w:val="single" w:sz="4" w:space="0" w:color="auto"/>
            </w:tcBorders>
            <w:hideMark/>
          </w:tcPr>
          <w:p w14:paraId="4FE2AD90" w14:textId="77777777" w:rsidR="0041570C" w:rsidRDefault="0041570C">
            <w:pPr>
              <w:keepLines/>
              <w:spacing w:before="120" w:after="120"/>
              <w:contextualSpacing/>
              <w:rPr>
                <w:rFonts w:cs="Arial"/>
                <w:szCs w:val="24"/>
                <w:vertAlign w:val="subscript"/>
              </w:rPr>
            </w:pPr>
            <w:r>
              <w:rPr>
                <w:rFonts w:cs="Arial"/>
                <w:szCs w:val="24"/>
              </w:rPr>
              <w:t>Fitch AAA</w:t>
            </w:r>
            <w:r>
              <w:rPr>
                <w:rFonts w:cs="Arial"/>
                <w:szCs w:val="24"/>
                <w:vertAlign w:val="subscript"/>
              </w:rPr>
              <w:t xml:space="preserve">f </w:t>
            </w:r>
          </w:p>
          <w:p w14:paraId="46295444" w14:textId="77777777" w:rsidR="0041570C" w:rsidRDefault="0041570C">
            <w:pPr>
              <w:keepLines/>
              <w:spacing w:before="120" w:after="120"/>
              <w:contextualSpacing/>
              <w:rPr>
                <w:rFonts w:cs="Arial"/>
                <w:szCs w:val="24"/>
              </w:rPr>
            </w:pPr>
            <w:r>
              <w:rPr>
                <w:rFonts w:cs="Arial"/>
                <w:szCs w:val="24"/>
              </w:rPr>
              <w:t xml:space="preserve">or equivalent from other agencies per </w:t>
            </w:r>
            <w:r>
              <w:rPr>
                <w:rFonts w:cs="Arial"/>
                <w:b/>
                <w:bCs/>
                <w:szCs w:val="24"/>
              </w:rPr>
              <w:t>Table 3.</w:t>
            </w:r>
          </w:p>
        </w:tc>
        <w:tc>
          <w:tcPr>
            <w:tcW w:w="1604" w:type="dxa"/>
            <w:tcBorders>
              <w:top w:val="single" w:sz="4" w:space="0" w:color="auto"/>
              <w:left w:val="single" w:sz="4" w:space="0" w:color="auto"/>
              <w:bottom w:val="single" w:sz="4" w:space="0" w:color="auto"/>
              <w:right w:val="single" w:sz="4" w:space="0" w:color="auto"/>
            </w:tcBorders>
            <w:hideMark/>
          </w:tcPr>
          <w:p w14:paraId="3A927E35" w14:textId="77777777" w:rsidR="0041570C" w:rsidRDefault="0041570C">
            <w:pPr>
              <w:keepLines/>
              <w:spacing w:before="120" w:after="120"/>
              <w:contextualSpacing/>
              <w:rPr>
                <w:rFonts w:cs="Arial"/>
                <w:szCs w:val="24"/>
              </w:rPr>
            </w:pPr>
            <w:r>
              <w:rPr>
                <w:rFonts w:cs="Arial"/>
                <w:szCs w:val="24"/>
              </w:rPr>
              <w:t>NS</w:t>
            </w:r>
          </w:p>
        </w:tc>
        <w:tc>
          <w:tcPr>
            <w:tcW w:w="1484" w:type="dxa"/>
            <w:tcBorders>
              <w:top w:val="single" w:sz="4" w:space="0" w:color="auto"/>
              <w:left w:val="single" w:sz="4" w:space="0" w:color="auto"/>
              <w:bottom w:val="single" w:sz="4" w:space="0" w:color="auto"/>
              <w:right w:val="single" w:sz="4" w:space="0" w:color="auto"/>
            </w:tcBorders>
            <w:hideMark/>
          </w:tcPr>
          <w:p w14:paraId="2100985D" w14:textId="77777777" w:rsidR="0041570C" w:rsidRDefault="0041570C">
            <w:pPr>
              <w:keepLines/>
              <w:spacing w:before="120" w:after="120"/>
              <w:contextualSpacing/>
              <w:rPr>
                <w:rFonts w:cs="Arial"/>
                <w:i/>
                <w:szCs w:val="24"/>
              </w:rPr>
            </w:pPr>
            <w:r>
              <w:rPr>
                <w:rFonts w:cs="Arial"/>
                <w:i/>
                <w:szCs w:val="24"/>
              </w:rPr>
              <w:t>N/A</w:t>
            </w:r>
          </w:p>
        </w:tc>
        <w:tc>
          <w:tcPr>
            <w:tcW w:w="1737" w:type="dxa"/>
            <w:tcBorders>
              <w:top w:val="single" w:sz="4" w:space="0" w:color="auto"/>
              <w:left w:val="single" w:sz="4" w:space="0" w:color="auto"/>
              <w:bottom w:val="single" w:sz="4" w:space="0" w:color="auto"/>
              <w:right w:val="single" w:sz="4" w:space="0" w:color="auto"/>
            </w:tcBorders>
            <w:hideMark/>
          </w:tcPr>
          <w:p w14:paraId="2EE1EAD9" w14:textId="77777777" w:rsidR="0041570C" w:rsidRDefault="0041570C">
            <w:pPr>
              <w:keepLines/>
              <w:spacing w:before="120" w:after="120"/>
              <w:contextualSpacing/>
              <w:rPr>
                <w:rFonts w:cs="Arial"/>
                <w:szCs w:val="24"/>
              </w:rPr>
            </w:pPr>
            <w:r>
              <w:rPr>
                <w:rFonts w:cs="Arial"/>
                <w:szCs w:val="24"/>
              </w:rPr>
              <w:t>20%</w:t>
            </w:r>
          </w:p>
        </w:tc>
      </w:tr>
      <w:tr w:rsidR="0041570C" w14:paraId="7A6B9B28" w14:textId="77777777" w:rsidTr="0041570C">
        <w:tc>
          <w:tcPr>
            <w:tcW w:w="2049" w:type="dxa"/>
            <w:tcBorders>
              <w:top w:val="single" w:sz="4" w:space="0" w:color="auto"/>
              <w:left w:val="single" w:sz="4" w:space="0" w:color="auto"/>
              <w:bottom w:val="single" w:sz="4" w:space="0" w:color="auto"/>
              <w:right w:val="single" w:sz="4" w:space="0" w:color="auto"/>
            </w:tcBorders>
            <w:hideMark/>
          </w:tcPr>
          <w:p w14:paraId="633D34BC" w14:textId="77777777" w:rsidR="0041570C" w:rsidRDefault="0041570C">
            <w:pPr>
              <w:keepLines/>
              <w:spacing w:before="120" w:after="120"/>
              <w:contextualSpacing/>
              <w:rPr>
                <w:rFonts w:cs="Arial"/>
                <w:b/>
                <w:bCs/>
                <w:szCs w:val="24"/>
              </w:rPr>
            </w:pPr>
            <w:r>
              <w:rPr>
                <w:rFonts w:cs="Arial"/>
                <w:b/>
                <w:bCs/>
                <w:szCs w:val="24"/>
              </w:rPr>
              <w:t>Senior UK Prime or Buy to Let Residential Mortgage Backed Securities (RMBS)</w:t>
            </w:r>
          </w:p>
        </w:tc>
        <w:tc>
          <w:tcPr>
            <w:tcW w:w="2142" w:type="dxa"/>
            <w:tcBorders>
              <w:top w:val="single" w:sz="4" w:space="0" w:color="auto"/>
              <w:left w:val="single" w:sz="4" w:space="0" w:color="auto"/>
              <w:bottom w:val="single" w:sz="4" w:space="0" w:color="auto"/>
              <w:right w:val="single" w:sz="4" w:space="0" w:color="auto"/>
            </w:tcBorders>
            <w:hideMark/>
          </w:tcPr>
          <w:p w14:paraId="3E1D0616" w14:textId="77777777" w:rsidR="0041570C" w:rsidRDefault="0041570C">
            <w:pPr>
              <w:keepLines/>
              <w:spacing w:before="120" w:after="120"/>
              <w:contextualSpacing/>
              <w:rPr>
                <w:rFonts w:cs="Arial"/>
                <w:szCs w:val="24"/>
              </w:rPr>
            </w:pPr>
            <w:r>
              <w:rPr>
                <w:rFonts w:cs="Arial"/>
                <w:szCs w:val="24"/>
              </w:rPr>
              <w:t>Bond rating Fitch AA+</w:t>
            </w:r>
            <w:r>
              <w:rPr>
                <w:rFonts w:cs="Arial"/>
                <w:szCs w:val="24"/>
                <w:vertAlign w:val="subscript"/>
              </w:rPr>
              <w:t>sf</w:t>
            </w:r>
            <w:r>
              <w:rPr>
                <w:rFonts w:cs="Arial"/>
                <w:szCs w:val="24"/>
              </w:rPr>
              <w:t xml:space="preserve"> or above</w:t>
            </w:r>
          </w:p>
          <w:p w14:paraId="7A7F4225" w14:textId="77777777" w:rsidR="0041570C" w:rsidRDefault="0041570C">
            <w:pPr>
              <w:keepLines/>
              <w:spacing w:before="120" w:after="120"/>
              <w:contextualSpacing/>
              <w:rPr>
                <w:rFonts w:cs="Arial"/>
                <w:szCs w:val="24"/>
              </w:rPr>
            </w:pPr>
            <w:r>
              <w:rPr>
                <w:rFonts w:cs="Arial"/>
                <w:szCs w:val="24"/>
              </w:rPr>
              <w:t xml:space="preserve">or equivalent from other agencies per </w:t>
            </w:r>
            <w:r>
              <w:rPr>
                <w:rFonts w:cs="Arial"/>
                <w:b/>
                <w:bCs/>
                <w:szCs w:val="24"/>
              </w:rPr>
              <w:t>Table 3</w:t>
            </w:r>
            <w:r>
              <w:rPr>
                <w:rFonts w:cs="Arial"/>
                <w:szCs w:val="24"/>
              </w:rPr>
              <w:t>.</w:t>
            </w:r>
          </w:p>
        </w:tc>
        <w:tc>
          <w:tcPr>
            <w:tcW w:w="1604" w:type="dxa"/>
            <w:tcBorders>
              <w:top w:val="single" w:sz="4" w:space="0" w:color="auto"/>
              <w:left w:val="single" w:sz="4" w:space="0" w:color="auto"/>
              <w:bottom w:val="single" w:sz="4" w:space="0" w:color="auto"/>
              <w:right w:val="single" w:sz="4" w:space="0" w:color="auto"/>
            </w:tcBorders>
            <w:hideMark/>
          </w:tcPr>
          <w:p w14:paraId="7F198291" w14:textId="77777777" w:rsidR="0041570C" w:rsidRDefault="0041570C">
            <w:pPr>
              <w:keepLines/>
              <w:spacing w:before="120" w:after="120"/>
              <w:contextualSpacing/>
              <w:rPr>
                <w:rFonts w:cs="Arial"/>
                <w:szCs w:val="24"/>
              </w:rPr>
            </w:pPr>
            <w:r>
              <w:rPr>
                <w:rFonts w:cs="Arial"/>
                <w:szCs w:val="24"/>
              </w:rPr>
              <w:t>NS*</w:t>
            </w:r>
          </w:p>
        </w:tc>
        <w:tc>
          <w:tcPr>
            <w:tcW w:w="1484" w:type="dxa"/>
            <w:tcBorders>
              <w:top w:val="single" w:sz="4" w:space="0" w:color="auto"/>
              <w:left w:val="single" w:sz="4" w:space="0" w:color="auto"/>
              <w:bottom w:val="single" w:sz="4" w:space="0" w:color="auto"/>
              <w:right w:val="single" w:sz="4" w:space="0" w:color="auto"/>
            </w:tcBorders>
            <w:hideMark/>
          </w:tcPr>
          <w:p w14:paraId="10B30212" w14:textId="77777777" w:rsidR="0041570C" w:rsidRDefault="0041570C">
            <w:pPr>
              <w:keepLines/>
              <w:spacing w:before="120" w:after="120"/>
              <w:contextualSpacing/>
              <w:rPr>
                <w:rFonts w:cs="Arial"/>
                <w:szCs w:val="24"/>
              </w:rPr>
            </w:pPr>
            <w:r>
              <w:rPr>
                <w:rFonts w:cs="Arial"/>
                <w:szCs w:val="24"/>
              </w:rPr>
              <w:t>NS*</w:t>
            </w:r>
          </w:p>
        </w:tc>
        <w:tc>
          <w:tcPr>
            <w:tcW w:w="1737" w:type="dxa"/>
            <w:tcBorders>
              <w:top w:val="single" w:sz="4" w:space="0" w:color="auto"/>
              <w:left w:val="single" w:sz="4" w:space="0" w:color="auto"/>
              <w:bottom w:val="single" w:sz="4" w:space="0" w:color="auto"/>
              <w:right w:val="single" w:sz="4" w:space="0" w:color="auto"/>
            </w:tcBorders>
            <w:hideMark/>
          </w:tcPr>
          <w:p w14:paraId="3E6316B9" w14:textId="77777777" w:rsidR="0041570C" w:rsidRDefault="0041570C">
            <w:pPr>
              <w:keepLines/>
              <w:spacing w:before="120" w:after="120"/>
              <w:contextualSpacing/>
              <w:rPr>
                <w:rFonts w:cs="Arial"/>
                <w:szCs w:val="24"/>
              </w:rPr>
            </w:pPr>
            <w:r>
              <w:rPr>
                <w:rFonts w:cs="Arial"/>
                <w:szCs w:val="24"/>
              </w:rPr>
              <w:t>35%</w:t>
            </w:r>
          </w:p>
        </w:tc>
      </w:tr>
      <w:tr w:rsidR="0041570C" w14:paraId="58764CA8" w14:textId="77777777" w:rsidTr="0041570C">
        <w:tc>
          <w:tcPr>
            <w:tcW w:w="2049" w:type="dxa"/>
            <w:tcBorders>
              <w:top w:val="single" w:sz="4" w:space="0" w:color="auto"/>
              <w:left w:val="single" w:sz="4" w:space="0" w:color="auto"/>
              <w:bottom w:val="single" w:sz="4" w:space="0" w:color="auto"/>
              <w:right w:val="single" w:sz="4" w:space="0" w:color="auto"/>
            </w:tcBorders>
            <w:hideMark/>
          </w:tcPr>
          <w:p w14:paraId="0D2C5993" w14:textId="77777777" w:rsidR="0041570C" w:rsidRDefault="0041570C">
            <w:pPr>
              <w:keepLines/>
              <w:spacing w:before="120" w:after="120"/>
              <w:contextualSpacing/>
              <w:rPr>
                <w:rFonts w:cs="Arial"/>
                <w:b/>
                <w:bCs/>
                <w:szCs w:val="24"/>
              </w:rPr>
            </w:pPr>
            <w:r>
              <w:rPr>
                <w:rFonts w:cs="Arial"/>
                <w:b/>
                <w:bCs/>
                <w:szCs w:val="24"/>
              </w:rPr>
              <w:t xml:space="preserve">Covered bonds </w:t>
            </w:r>
          </w:p>
        </w:tc>
        <w:tc>
          <w:tcPr>
            <w:tcW w:w="2142" w:type="dxa"/>
            <w:tcBorders>
              <w:top w:val="single" w:sz="4" w:space="0" w:color="auto"/>
              <w:left w:val="single" w:sz="4" w:space="0" w:color="auto"/>
              <w:bottom w:val="single" w:sz="4" w:space="0" w:color="auto"/>
              <w:right w:val="single" w:sz="4" w:space="0" w:color="auto"/>
            </w:tcBorders>
          </w:tcPr>
          <w:p w14:paraId="7975229B" w14:textId="77777777" w:rsidR="0041570C" w:rsidRDefault="0041570C">
            <w:pPr>
              <w:keepLines/>
              <w:spacing w:before="120" w:after="120"/>
              <w:contextualSpacing/>
              <w:rPr>
                <w:rFonts w:cs="Arial"/>
                <w:szCs w:val="24"/>
              </w:rPr>
            </w:pPr>
            <w:r>
              <w:rPr>
                <w:rFonts w:cs="Arial"/>
                <w:szCs w:val="24"/>
              </w:rPr>
              <w:t>Bond rating Fitch AA+</w:t>
            </w:r>
            <w:r>
              <w:rPr>
                <w:rFonts w:cs="Arial"/>
                <w:szCs w:val="24"/>
                <w:vertAlign w:val="subscript"/>
              </w:rPr>
              <w:t>sf</w:t>
            </w:r>
            <w:r>
              <w:rPr>
                <w:rFonts w:cs="Arial"/>
                <w:szCs w:val="24"/>
              </w:rPr>
              <w:t xml:space="preserve"> </w:t>
            </w:r>
          </w:p>
          <w:p w14:paraId="1DBD9C15" w14:textId="77777777" w:rsidR="0041570C" w:rsidRDefault="0041570C">
            <w:pPr>
              <w:keepLines/>
              <w:spacing w:before="120" w:after="120"/>
              <w:contextualSpacing/>
              <w:rPr>
                <w:rFonts w:cs="Arial"/>
                <w:szCs w:val="24"/>
              </w:rPr>
            </w:pPr>
            <w:r>
              <w:rPr>
                <w:rFonts w:cs="Arial"/>
                <w:szCs w:val="24"/>
              </w:rPr>
              <w:t xml:space="preserve">or equivalent from other agencies per </w:t>
            </w:r>
            <w:r>
              <w:rPr>
                <w:rFonts w:cs="Arial"/>
                <w:b/>
                <w:bCs/>
                <w:szCs w:val="24"/>
              </w:rPr>
              <w:t>Table 3</w:t>
            </w:r>
          </w:p>
          <w:p w14:paraId="0E198A34" w14:textId="77777777" w:rsidR="0041570C" w:rsidRDefault="0041570C">
            <w:pPr>
              <w:keepLines/>
              <w:spacing w:before="120" w:after="120"/>
              <w:contextualSpacing/>
              <w:rPr>
                <w:rFonts w:cs="Arial"/>
                <w:szCs w:val="24"/>
              </w:rPr>
            </w:pPr>
          </w:p>
          <w:p w14:paraId="04D7A5B1" w14:textId="77777777" w:rsidR="0041570C" w:rsidRDefault="0041570C">
            <w:pPr>
              <w:keepLines/>
              <w:spacing w:before="120" w:after="120"/>
              <w:contextualSpacing/>
              <w:rPr>
                <w:rFonts w:cs="Arial"/>
                <w:szCs w:val="24"/>
              </w:rPr>
            </w:pPr>
            <w:r>
              <w:rPr>
                <w:rFonts w:cs="Arial"/>
                <w:szCs w:val="24"/>
              </w:rPr>
              <w:lastRenderedPageBreak/>
              <w:t>AND</w:t>
            </w:r>
          </w:p>
          <w:p w14:paraId="5FFC1EA3" w14:textId="77777777" w:rsidR="0041570C" w:rsidRDefault="0041570C">
            <w:pPr>
              <w:keepLines/>
              <w:spacing w:before="120" w:after="120"/>
              <w:contextualSpacing/>
              <w:rPr>
                <w:rFonts w:cs="Arial"/>
                <w:szCs w:val="24"/>
              </w:rPr>
            </w:pPr>
          </w:p>
          <w:p w14:paraId="66303AEA" w14:textId="77777777" w:rsidR="0041570C" w:rsidRDefault="0041570C">
            <w:pPr>
              <w:keepLines/>
              <w:spacing w:before="120" w:after="120"/>
              <w:contextualSpacing/>
              <w:rPr>
                <w:rFonts w:cs="Arial"/>
                <w:szCs w:val="24"/>
              </w:rPr>
            </w:pPr>
            <w:r>
              <w:rPr>
                <w:rFonts w:cs="Arial"/>
                <w:szCs w:val="24"/>
              </w:rPr>
              <w:t>Issuer rated Fitch A- or above</w:t>
            </w:r>
          </w:p>
          <w:p w14:paraId="63510BD5" w14:textId="77777777" w:rsidR="0041570C" w:rsidRDefault="0041570C">
            <w:pPr>
              <w:keepLines/>
              <w:spacing w:before="120" w:after="120"/>
              <w:contextualSpacing/>
              <w:rPr>
                <w:rFonts w:cs="Arial"/>
                <w:szCs w:val="24"/>
              </w:rPr>
            </w:pPr>
            <w:r>
              <w:rPr>
                <w:rFonts w:cs="Arial"/>
                <w:szCs w:val="24"/>
              </w:rPr>
              <w:t>or equivalent from other agencies per</w:t>
            </w:r>
            <w:r>
              <w:rPr>
                <w:rFonts w:cs="Arial"/>
                <w:b/>
                <w:bCs/>
                <w:szCs w:val="24"/>
              </w:rPr>
              <w:t xml:space="preserve"> Table 3</w:t>
            </w:r>
          </w:p>
        </w:tc>
        <w:tc>
          <w:tcPr>
            <w:tcW w:w="1604" w:type="dxa"/>
            <w:tcBorders>
              <w:top w:val="single" w:sz="4" w:space="0" w:color="auto"/>
              <w:left w:val="single" w:sz="4" w:space="0" w:color="auto"/>
              <w:bottom w:val="single" w:sz="4" w:space="0" w:color="auto"/>
              <w:right w:val="single" w:sz="4" w:space="0" w:color="auto"/>
            </w:tcBorders>
            <w:hideMark/>
          </w:tcPr>
          <w:p w14:paraId="373FC8A4" w14:textId="77777777" w:rsidR="0041570C" w:rsidRDefault="0041570C">
            <w:pPr>
              <w:keepLines/>
              <w:spacing w:before="120" w:after="120"/>
              <w:contextualSpacing/>
              <w:rPr>
                <w:rFonts w:cs="Arial"/>
                <w:szCs w:val="24"/>
              </w:rPr>
            </w:pPr>
            <w:r>
              <w:rPr>
                <w:rFonts w:cs="Arial"/>
                <w:szCs w:val="24"/>
              </w:rPr>
              <w:lastRenderedPageBreak/>
              <w:t>NS*</w:t>
            </w:r>
          </w:p>
        </w:tc>
        <w:tc>
          <w:tcPr>
            <w:tcW w:w="1484" w:type="dxa"/>
            <w:tcBorders>
              <w:top w:val="single" w:sz="4" w:space="0" w:color="auto"/>
              <w:left w:val="single" w:sz="4" w:space="0" w:color="auto"/>
              <w:bottom w:val="single" w:sz="4" w:space="0" w:color="auto"/>
              <w:right w:val="single" w:sz="4" w:space="0" w:color="auto"/>
            </w:tcBorders>
            <w:hideMark/>
          </w:tcPr>
          <w:p w14:paraId="25010263" w14:textId="77777777" w:rsidR="0041570C" w:rsidRDefault="0041570C">
            <w:pPr>
              <w:keepLines/>
              <w:spacing w:before="120" w:after="120"/>
              <w:contextualSpacing/>
              <w:rPr>
                <w:rFonts w:cs="Arial"/>
                <w:szCs w:val="24"/>
              </w:rPr>
            </w:pPr>
            <w:r>
              <w:rPr>
                <w:rFonts w:cs="Arial"/>
                <w:szCs w:val="24"/>
              </w:rPr>
              <w:t>NS*</w:t>
            </w:r>
          </w:p>
        </w:tc>
        <w:tc>
          <w:tcPr>
            <w:tcW w:w="1737" w:type="dxa"/>
            <w:tcBorders>
              <w:top w:val="single" w:sz="4" w:space="0" w:color="auto"/>
              <w:left w:val="single" w:sz="4" w:space="0" w:color="auto"/>
              <w:bottom w:val="single" w:sz="4" w:space="0" w:color="auto"/>
              <w:right w:val="single" w:sz="4" w:space="0" w:color="auto"/>
            </w:tcBorders>
            <w:hideMark/>
          </w:tcPr>
          <w:p w14:paraId="32C55C65" w14:textId="77777777" w:rsidR="0041570C" w:rsidRDefault="0041570C">
            <w:pPr>
              <w:keepLines/>
              <w:spacing w:before="120" w:after="120"/>
              <w:contextualSpacing/>
              <w:rPr>
                <w:rFonts w:cs="Arial"/>
                <w:szCs w:val="24"/>
              </w:rPr>
            </w:pPr>
            <w:r>
              <w:rPr>
                <w:rFonts w:cs="Arial"/>
                <w:szCs w:val="24"/>
              </w:rPr>
              <w:t>20%</w:t>
            </w:r>
          </w:p>
        </w:tc>
      </w:tr>
      <w:tr w:rsidR="0041570C" w14:paraId="1D34B96C" w14:textId="77777777" w:rsidTr="0041570C">
        <w:tc>
          <w:tcPr>
            <w:tcW w:w="2049" w:type="dxa"/>
            <w:tcBorders>
              <w:top w:val="single" w:sz="4" w:space="0" w:color="auto"/>
              <w:left w:val="single" w:sz="4" w:space="0" w:color="auto"/>
              <w:bottom w:val="single" w:sz="4" w:space="0" w:color="auto"/>
              <w:right w:val="single" w:sz="4" w:space="0" w:color="auto"/>
            </w:tcBorders>
            <w:hideMark/>
          </w:tcPr>
          <w:p w14:paraId="4D67AB30" w14:textId="77777777" w:rsidR="0041570C" w:rsidRDefault="0041570C">
            <w:pPr>
              <w:keepLines/>
              <w:spacing w:before="120" w:after="120"/>
              <w:contextualSpacing/>
              <w:rPr>
                <w:rFonts w:cs="Arial"/>
                <w:b/>
                <w:bCs/>
                <w:szCs w:val="24"/>
              </w:rPr>
            </w:pPr>
            <w:r>
              <w:rPr>
                <w:rFonts w:cs="Arial"/>
                <w:b/>
                <w:bCs/>
                <w:szCs w:val="24"/>
              </w:rPr>
              <w:t>Repurchase Agreements (Repo)</w:t>
            </w:r>
          </w:p>
        </w:tc>
        <w:tc>
          <w:tcPr>
            <w:tcW w:w="2142" w:type="dxa"/>
            <w:tcBorders>
              <w:top w:val="single" w:sz="4" w:space="0" w:color="auto"/>
              <w:left w:val="single" w:sz="4" w:space="0" w:color="auto"/>
              <w:bottom w:val="single" w:sz="4" w:space="0" w:color="auto"/>
              <w:right w:val="single" w:sz="4" w:space="0" w:color="auto"/>
            </w:tcBorders>
          </w:tcPr>
          <w:p w14:paraId="1D1F2855" w14:textId="77777777" w:rsidR="0041570C" w:rsidRDefault="0041570C">
            <w:pPr>
              <w:keepLines/>
              <w:spacing w:before="120" w:after="120"/>
              <w:contextualSpacing/>
              <w:rPr>
                <w:rFonts w:cs="Arial"/>
                <w:szCs w:val="24"/>
              </w:rPr>
            </w:pPr>
            <w:r>
              <w:rPr>
                <w:rFonts w:cs="Arial"/>
                <w:szCs w:val="24"/>
              </w:rPr>
              <w:t>Counterparty meets senior unsecured criteria AND proposed collateral (Min 100%) itself meets permitted investment criteria</w:t>
            </w:r>
          </w:p>
          <w:p w14:paraId="4F5AFAD4" w14:textId="77777777" w:rsidR="0041570C" w:rsidRDefault="0041570C">
            <w:pPr>
              <w:keepLines/>
              <w:spacing w:before="120" w:after="120"/>
              <w:contextualSpacing/>
              <w:rPr>
                <w:rFonts w:cs="Arial"/>
                <w:szCs w:val="24"/>
              </w:rPr>
            </w:pPr>
          </w:p>
          <w:p w14:paraId="70556876" w14:textId="77777777" w:rsidR="0041570C" w:rsidRDefault="0041570C">
            <w:pPr>
              <w:keepLines/>
              <w:spacing w:before="120" w:after="120"/>
              <w:contextualSpacing/>
              <w:rPr>
                <w:rFonts w:cs="Arial"/>
                <w:szCs w:val="24"/>
              </w:rPr>
            </w:pPr>
            <w:r>
              <w:rPr>
                <w:rFonts w:cs="Arial"/>
                <w:szCs w:val="24"/>
              </w:rPr>
              <w:t>Or</w:t>
            </w:r>
          </w:p>
          <w:p w14:paraId="179561B8" w14:textId="77777777" w:rsidR="0041570C" w:rsidRDefault="0041570C">
            <w:pPr>
              <w:keepLines/>
              <w:spacing w:before="120" w:after="120"/>
              <w:contextualSpacing/>
              <w:rPr>
                <w:rFonts w:cs="Arial"/>
                <w:szCs w:val="24"/>
              </w:rPr>
            </w:pPr>
          </w:p>
          <w:p w14:paraId="58D28438" w14:textId="77777777" w:rsidR="0041570C" w:rsidRDefault="0041570C">
            <w:pPr>
              <w:keepLines/>
              <w:spacing w:before="120" w:after="120"/>
              <w:contextualSpacing/>
              <w:rPr>
                <w:rFonts w:cs="Arial"/>
                <w:szCs w:val="24"/>
              </w:rPr>
            </w:pPr>
            <w:r>
              <w:rPr>
                <w:rFonts w:cs="Arial"/>
                <w:szCs w:val="24"/>
              </w:rPr>
              <w:t xml:space="preserve">Collateralisation is &gt;102% with UK Gilts / T-Bills </w:t>
            </w:r>
          </w:p>
        </w:tc>
        <w:tc>
          <w:tcPr>
            <w:tcW w:w="1604" w:type="dxa"/>
            <w:tcBorders>
              <w:top w:val="single" w:sz="4" w:space="0" w:color="auto"/>
              <w:left w:val="single" w:sz="4" w:space="0" w:color="auto"/>
              <w:bottom w:val="single" w:sz="4" w:space="0" w:color="auto"/>
              <w:right w:val="single" w:sz="4" w:space="0" w:color="auto"/>
            </w:tcBorders>
          </w:tcPr>
          <w:p w14:paraId="1F2730E9" w14:textId="77777777" w:rsidR="0041570C" w:rsidRDefault="0041570C">
            <w:pPr>
              <w:keepLines/>
              <w:spacing w:before="120" w:after="120"/>
              <w:contextualSpacing/>
              <w:rPr>
                <w:rFonts w:cs="Arial"/>
                <w:szCs w:val="24"/>
              </w:rPr>
            </w:pPr>
            <w:r>
              <w:rPr>
                <w:rFonts w:cs="Arial"/>
                <w:szCs w:val="24"/>
              </w:rPr>
              <w:t>S* – UK gilts or T-Bills AND</w:t>
            </w:r>
          </w:p>
          <w:p w14:paraId="3D8C28F2" w14:textId="77777777" w:rsidR="0041570C" w:rsidRDefault="0041570C">
            <w:pPr>
              <w:keepLines/>
              <w:spacing w:before="120" w:after="120"/>
              <w:contextualSpacing/>
              <w:rPr>
                <w:rFonts w:cs="Arial"/>
                <w:szCs w:val="24"/>
              </w:rPr>
            </w:pPr>
            <w:r>
              <w:rPr>
                <w:rFonts w:cs="Arial"/>
                <w:szCs w:val="24"/>
              </w:rPr>
              <w:t>Counterparty meets senior unsecured criteria</w:t>
            </w:r>
          </w:p>
          <w:p w14:paraId="450B9EA3" w14:textId="77777777" w:rsidR="0041570C" w:rsidRDefault="0041570C">
            <w:pPr>
              <w:keepLines/>
              <w:spacing w:before="120" w:after="120"/>
              <w:contextualSpacing/>
              <w:rPr>
                <w:rFonts w:cs="Arial"/>
                <w:szCs w:val="24"/>
              </w:rPr>
            </w:pPr>
          </w:p>
          <w:p w14:paraId="69D19B12" w14:textId="77777777" w:rsidR="0041570C" w:rsidRDefault="0041570C">
            <w:pPr>
              <w:keepLines/>
              <w:spacing w:before="120" w:after="120"/>
              <w:contextualSpacing/>
              <w:rPr>
                <w:rFonts w:cs="Arial"/>
                <w:szCs w:val="24"/>
              </w:rPr>
            </w:pPr>
            <w:r>
              <w:rPr>
                <w:rFonts w:cs="Arial"/>
                <w:szCs w:val="24"/>
              </w:rPr>
              <w:t xml:space="preserve">NS* – other </w:t>
            </w:r>
          </w:p>
        </w:tc>
        <w:tc>
          <w:tcPr>
            <w:tcW w:w="1484" w:type="dxa"/>
            <w:tcBorders>
              <w:top w:val="single" w:sz="4" w:space="0" w:color="auto"/>
              <w:left w:val="single" w:sz="4" w:space="0" w:color="auto"/>
              <w:bottom w:val="single" w:sz="4" w:space="0" w:color="auto"/>
              <w:right w:val="single" w:sz="4" w:space="0" w:color="auto"/>
            </w:tcBorders>
            <w:hideMark/>
          </w:tcPr>
          <w:p w14:paraId="2936E2CC" w14:textId="77777777" w:rsidR="0041570C" w:rsidRDefault="0041570C">
            <w:pPr>
              <w:keepLines/>
              <w:spacing w:before="120" w:after="120"/>
              <w:contextualSpacing/>
              <w:rPr>
                <w:rFonts w:cs="Arial"/>
                <w:i/>
                <w:szCs w:val="24"/>
              </w:rPr>
            </w:pPr>
            <w:r>
              <w:rPr>
                <w:rFonts w:cs="Arial"/>
                <w:i/>
                <w:szCs w:val="24"/>
              </w:rPr>
              <w:t>Not permitted.</w:t>
            </w:r>
          </w:p>
        </w:tc>
        <w:tc>
          <w:tcPr>
            <w:tcW w:w="1737" w:type="dxa"/>
            <w:tcBorders>
              <w:top w:val="single" w:sz="4" w:space="0" w:color="auto"/>
              <w:left w:val="single" w:sz="4" w:space="0" w:color="auto"/>
              <w:bottom w:val="single" w:sz="4" w:space="0" w:color="auto"/>
              <w:right w:val="single" w:sz="4" w:space="0" w:color="auto"/>
            </w:tcBorders>
          </w:tcPr>
          <w:p w14:paraId="39A77D1C" w14:textId="77777777" w:rsidR="0041570C" w:rsidRDefault="0041570C">
            <w:pPr>
              <w:keepLines/>
              <w:spacing w:before="120" w:after="120"/>
              <w:contextualSpacing/>
              <w:rPr>
                <w:rFonts w:cs="Arial"/>
                <w:szCs w:val="24"/>
              </w:rPr>
            </w:pPr>
            <w:r>
              <w:rPr>
                <w:rFonts w:cs="Arial"/>
                <w:szCs w:val="24"/>
              </w:rPr>
              <w:t>S – 100%</w:t>
            </w:r>
          </w:p>
          <w:p w14:paraId="69775C35" w14:textId="77777777" w:rsidR="0041570C" w:rsidRDefault="0041570C">
            <w:pPr>
              <w:keepLines/>
              <w:spacing w:before="120" w:after="120"/>
              <w:contextualSpacing/>
              <w:rPr>
                <w:rFonts w:cs="Arial"/>
                <w:szCs w:val="24"/>
              </w:rPr>
            </w:pPr>
          </w:p>
          <w:p w14:paraId="23195092" w14:textId="77777777" w:rsidR="0041570C" w:rsidRDefault="0041570C">
            <w:pPr>
              <w:keepLines/>
              <w:spacing w:before="120" w:after="120"/>
              <w:contextualSpacing/>
              <w:rPr>
                <w:rFonts w:cs="Arial"/>
                <w:szCs w:val="24"/>
              </w:rPr>
            </w:pPr>
            <w:r>
              <w:rPr>
                <w:rFonts w:cs="Arial"/>
                <w:szCs w:val="24"/>
              </w:rPr>
              <w:t>NS – 20%, and not more than 10% with counterparties not meeting senior unsecured criteria.</w:t>
            </w:r>
          </w:p>
        </w:tc>
      </w:tr>
      <w:tr w:rsidR="0041570C" w14:paraId="17D3C43C" w14:textId="77777777" w:rsidTr="0041570C">
        <w:tc>
          <w:tcPr>
            <w:tcW w:w="2049" w:type="dxa"/>
            <w:tcBorders>
              <w:top w:val="single" w:sz="4" w:space="0" w:color="auto"/>
              <w:left w:val="single" w:sz="4" w:space="0" w:color="auto"/>
              <w:bottom w:val="single" w:sz="4" w:space="0" w:color="auto"/>
              <w:right w:val="single" w:sz="4" w:space="0" w:color="auto"/>
            </w:tcBorders>
            <w:hideMark/>
          </w:tcPr>
          <w:p w14:paraId="0ABA298C" w14:textId="77777777" w:rsidR="0041570C" w:rsidRDefault="0041570C">
            <w:pPr>
              <w:keepLines/>
              <w:spacing w:before="120" w:after="120"/>
              <w:contextualSpacing/>
              <w:rPr>
                <w:rFonts w:cs="Arial"/>
                <w:b/>
                <w:bCs/>
                <w:szCs w:val="24"/>
              </w:rPr>
            </w:pPr>
            <w:r>
              <w:rPr>
                <w:rFonts w:cs="Arial"/>
                <w:b/>
                <w:bCs/>
                <w:szCs w:val="24"/>
              </w:rPr>
              <w:t>Other strategic investments (only to be held within authorised and regulated funds)</w:t>
            </w:r>
          </w:p>
        </w:tc>
        <w:tc>
          <w:tcPr>
            <w:tcW w:w="2142" w:type="dxa"/>
            <w:tcBorders>
              <w:top w:val="single" w:sz="4" w:space="0" w:color="auto"/>
              <w:left w:val="single" w:sz="4" w:space="0" w:color="auto"/>
              <w:bottom w:val="single" w:sz="4" w:space="0" w:color="auto"/>
              <w:right w:val="single" w:sz="4" w:space="0" w:color="auto"/>
            </w:tcBorders>
            <w:hideMark/>
          </w:tcPr>
          <w:p w14:paraId="22D89403" w14:textId="77777777" w:rsidR="0041570C" w:rsidRDefault="0041570C">
            <w:pPr>
              <w:keepLines/>
              <w:spacing w:before="120" w:after="120"/>
              <w:contextualSpacing/>
              <w:rPr>
                <w:rFonts w:cs="Arial"/>
                <w:szCs w:val="24"/>
              </w:rPr>
            </w:pPr>
            <w:r>
              <w:rPr>
                <w:rFonts w:cs="Arial"/>
                <w:szCs w:val="24"/>
              </w:rPr>
              <w:t>Any sterling-denominated investment with risk and return characteristics appropriate to the collective investment arrangement and mutually agreed by all participants.</w:t>
            </w:r>
          </w:p>
        </w:tc>
        <w:tc>
          <w:tcPr>
            <w:tcW w:w="1604" w:type="dxa"/>
            <w:tcBorders>
              <w:top w:val="single" w:sz="4" w:space="0" w:color="auto"/>
              <w:left w:val="single" w:sz="4" w:space="0" w:color="auto"/>
              <w:bottom w:val="single" w:sz="4" w:space="0" w:color="auto"/>
              <w:right w:val="single" w:sz="4" w:space="0" w:color="auto"/>
            </w:tcBorders>
            <w:hideMark/>
          </w:tcPr>
          <w:p w14:paraId="69B2FABF" w14:textId="77777777" w:rsidR="0041570C" w:rsidRDefault="0041570C">
            <w:pPr>
              <w:keepLines/>
              <w:spacing w:before="120" w:after="120"/>
              <w:contextualSpacing/>
              <w:rPr>
                <w:rFonts w:cs="Arial"/>
                <w:szCs w:val="24"/>
              </w:rPr>
            </w:pPr>
            <w:r>
              <w:rPr>
                <w:rFonts w:cs="Arial"/>
                <w:szCs w:val="24"/>
              </w:rPr>
              <w:t>NS*</w:t>
            </w:r>
          </w:p>
        </w:tc>
        <w:tc>
          <w:tcPr>
            <w:tcW w:w="1484" w:type="dxa"/>
            <w:tcBorders>
              <w:top w:val="single" w:sz="4" w:space="0" w:color="auto"/>
              <w:left w:val="single" w:sz="4" w:space="0" w:color="auto"/>
              <w:bottom w:val="single" w:sz="4" w:space="0" w:color="auto"/>
              <w:right w:val="single" w:sz="4" w:space="0" w:color="auto"/>
            </w:tcBorders>
            <w:hideMark/>
          </w:tcPr>
          <w:p w14:paraId="124A726B" w14:textId="77777777" w:rsidR="0041570C" w:rsidRDefault="0041570C">
            <w:pPr>
              <w:keepLines/>
              <w:spacing w:before="120" w:after="120"/>
              <w:contextualSpacing/>
              <w:rPr>
                <w:rFonts w:cs="Arial"/>
                <w:iCs/>
                <w:szCs w:val="24"/>
              </w:rPr>
            </w:pPr>
            <w:r>
              <w:rPr>
                <w:rFonts w:cs="Arial"/>
                <w:iCs/>
                <w:szCs w:val="24"/>
              </w:rPr>
              <w:t>NS*</w:t>
            </w:r>
          </w:p>
        </w:tc>
        <w:tc>
          <w:tcPr>
            <w:tcW w:w="1737" w:type="dxa"/>
            <w:tcBorders>
              <w:top w:val="single" w:sz="4" w:space="0" w:color="auto"/>
              <w:left w:val="single" w:sz="4" w:space="0" w:color="auto"/>
              <w:bottom w:val="single" w:sz="4" w:space="0" w:color="auto"/>
              <w:right w:val="single" w:sz="4" w:space="0" w:color="auto"/>
            </w:tcBorders>
            <w:hideMark/>
          </w:tcPr>
          <w:p w14:paraId="4D141E1B" w14:textId="77777777" w:rsidR="0041570C" w:rsidRDefault="0041570C">
            <w:pPr>
              <w:keepLines/>
              <w:spacing w:before="120" w:after="120"/>
              <w:contextualSpacing/>
              <w:rPr>
                <w:rFonts w:cs="Arial"/>
                <w:szCs w:val="24"/>
              </w:rPr>
            </w:pPr>
            <w:r>
              <w:rPr>
                <w:rFonts w:cs="Arial"/>
                <w:szCs w:val="24"/>
              </w:rPr>
              <w:t>10%</w:t>
            </w:r>
          </w:p>
        </w:tc>
      </w:tr>
    </w:tbl>
    <w:p w14:paraId="321BDDC8" w14:textId="77777777" w:rsidR="0041570C" w:rsidRDefault="0041570C" w:rsidP="0041570C">
      <w:pPr>
        <w:rPr>
          <w:rFonts w:eastAsiaTheme="minorHAnsi" w:cs="Arial"/>
          <w:szCs w:val="24"/>
        </w:rPr>
      </w:pPr>
    </w:p>
    <w:p w14:paraId="72180D08" w14:textId="77777777" w:rsidR="0041570C" w:rsidRDefault="0041570C" w:rsidP="0041570C">
      <w:pPr>
        <w:spacing w:before="120" w:after="240"/>
        <w:contextualSpacing/>
        <w:rPr>
          <w:rFonts w:cs="Arial"/>
          <w:b/>
          <w:bCs/>
          <w:szCs w:val="24"/>
          <w:u w:val="single"/>
          <w:lang w:eastAsia="en-GB"/>
        </w:rPr>
      </w:pPr>
      <w:bookmarkStart w:id="20" w:name="_Ref31816123"/>
      <w:r>
        <w:rPr>
          <w:rFonts w:cs="Arial"/>
          <w:b/>
          <w:bCs/>
          <w:szCs w:val="24"/>
          <w:u w:val="single"/>
          <w:lang w:eastAsia="en-GB"/>
        </w:rPr>
        <w:t>Credit Ratings and Country Limits</w:t>
      </w:r>
    </w:p>
    <w:p w14:paraId="1FB8E1C5" w14:textId="77777777" w:rsidR="0041570C" w:rsidRDefault="0041570C" w:rsidP="0041570C">
      <w:pPr>
        <w:spacing w:before="120" w:after="240"/>
        <w:contextualSpacing/>
        <w:rPr>
          <w:rFonts w:cs="Arial"/>
          <w:szCs w:val="24"/>
          <w:lang w:eastAsia="en-GB"/>
        </w:rPr>
      </w:pPr>
    </w:p>
    <w:p w14:paraId="12BA11C5" w14:textId="77777777" w:rsidR="0041570C" w:rsidRDefault="0041570C" w:rsidP="0041570C">
      <w:pPr>
        <w:spacing w:before="120" w:after="240"/>
        <w:contextualSpacing/>
        <w:rPr>
          <w:rFonts w:cs="Arial"/>
          <w:szCs w:val="24"/>
          <w:lang w:eastAsia="en-GB"/>
        </w:rPr>
      </w:pPr>
      <w:r>
        <w:rPr>
          <w:rFonts w:cs="Arial"/>
          <w:szCs w:val="24"/>
          <w:lang w:eastAsia="en-GB"/>
        </w:rPr>
        <w:t>Maximum exposures to non-UK financial institutions apply by country, based on the relevant sovereign ratings outlined in the table below:</w:t>
      </w:r>
      <w:bookmarkEnd w:id="20"/>
      <w:r>
        <w:rPr>
          <w:rFonts w:cs="Arial"/>
          <w:szCs w:val="24"/>
          <w:lang w:eastAsia="en-GB"/>
        </w:rPr>
        <w:t xml:space="preserve"> </w:t>
      </w:r>
    </w:p>
    <w:p w14:paraId="074865D2" w14:textId="77777777" w:rsidR="0041570C" w:rsidRDefault="0041570C" w:rsidP="0041570C">
      <w:pPr>
        <w:spacing w:before="120" w:after="240"/>
        <w:contextualSpacing/>
        <w:rPr>
          <w:rFonts w:cs="Arial"/>
          <w:szCs w:val="24"/>
          <w:lang w:eastAsia="en-GB"/>
        </w:rPr>
      </w:pPr>
    </w:p>
    <w:p w14:paraId="7F76E60D" w14:textId="77777777" w:rsidR="0041570C" w:rsidRDefault="0041570C" w:rsidP="0041570C">
      <w:pPr>
        <w:spacing w:before="120" w:after="240"/>
        <w:contextualSpacing/>
        <w:rPr>
          <w:rFonts w:cs="Arial"/>
          <w:b/>
          <w:bCs/>
          <w:szCs w:val="24"/>
          <w:lang w:eastAsia="en-GB"/>
        </w:rPr>
      </w:pPr>
      <w:r>
        <w:rPr>
          <w:rFonts w:cs="Arial"/>
          <w:b/>
          <w:bCs/>
          <w:szCs w:val="24"/>
          <w:lang w:eastAsia="en-GB"/>
        </w:rPr>
        <w:t>Table 2 – Country Limits</w:t>
      </w:r>
    </w:p>
    <w:tbl>
      <w:tblPr>
        <w:tblStyle w:val="TableGrid"/>
        <w:tblW w:w="5000" w:type="pct"/>
        <w:tblLook w:val="04A0" w:firstRow="1" w:lastRow="0" w:firstColumn="1" w:lastColumn="0" w:noHBand="0" w:noVBand="1"/>
      </w:tblPr>
      <w:tblGrid>
        <w:gridCol w:w="2086"/>
        <w:gridCol w:w="2073"/>
        <w:gridCol w:w="2073"/>
        <w:gridCol w:w="2073"/>
      </w:tblGrid>
      <w:tr w:rsidR="0041570C" w14:paraId="12F08507" w14:textId="77777777" w:rsidTr="0041570C">
        <w:tc>
          <w:tcPr>
            <w:tcW w:w="1255" w:type="pct"/>
            <w:tcBorders>
              <w:top w:val="single" w:sz="4" w:space="0" w:color="auto"/>
              <w:left w:val="single" w:sz="4" w:space="0" w:color="auto"/>
              <w:bottom w:val="single" w:sz="4" w:space="0" w:color="auto"/>
              <w:right w:val="single" w:sz="4" w:space="0" w:color="auto"/>
            </w:tcBorders>
            <w:hideMark/>
          </w:tcPr>
          <w:p w14:paraId="0F648CD8" w14:textId="77777777" w:rsidR="0041570C" w:rsidRDefault="0041570C">
            <w:pPr>
              <w:pStyle w:val="ListParagraph"/>
              <w:keepNext/>
              <w:keepLines/>
              <w:spacing w:before="120" w:after="120"/>
              <w:ind w:left="0"/>
              <w:rPr>
                <w:rFonts w:cs="Arial"/>
                <w:b/>
                <w:bCs/>
                <w:szCs w:val="24"/>
              </w:rPr>
            </w:pPr>
            <w:r>
              <w:rPr>
                <w:rFonts w:cs="Arial"/>
                <w:b/>
                <w:bCs/>
              </w:rPr>
              <w:t xml:space="preserve">Max. Aggregate </w:t>
            </w:r>
            <w:r>
              <w:rPr>
                <w:rFonts w:cs="Arial"/>
                <w:b/>
                <w:bCs/>
              </w:rPr>
              <w:br/>
              <w:t>Exposure (%)</w:t>
            </w:r>
          </w:p>
        </w:tc>
        <w:tc>
          <w:tcPr>
            <w:tcW w:w="1248" w:type="pct"/>
            <w:tcBorders>
              <w:top w:val="single" w:sz="4" w:space="0" w:color="auto"/>
              <w:left w:val="single" w:sz="4" w:space="0" w:color="auto"/>
              <w:bottom w:val="single" w:sz="4" w:space="0" w:color="auto"/>
              <w:right w:val="single" w:sz="4" w:space="0" w:color="auto"/>
            </w:tcBorders>
            <w:hideMark/>
          </w:tcPr>
          <w:p w14:paraId="1F7BE15C" w14:textId="77777777" w:rsidR="0041570C" w:rsidRDefault="0041570C">
            <w:pPr>
              <w:pStyle w:val="ListParagraph"/>
              <w:keepNext/>
              <w:keepLines/>
              <w:spacing w:before="120" w:after="120"/>
              <w:ind w:left="0"/>
              <w:rPr>
                <w:rFonts w:cs="Arial"/>
                <w:b/>
                <w:bCs/>
              </w:rPr>
            </w:pPr>
            <w:r>
              <w:rPr>
                <w:rFonts w:cs="Arial"/>
                <w:b/>
                <w:bCs/>
              </w:rPr>
              <w:t xml:space="preserve">Fitch </w:t>
            </w:r>
          </w:p>
          <w:p w14:paraId="6E81444F" w14:textId="77777777" w:rsidR="0041570C" w:rsidRDefault="0041570C">
            <w:pPr>
              <w:pStyle w:val="ListParagraph"/>
              <w:keepNext/>
              <w:keepLines/>
              <w:spacing w:before="120" w:after="120"/>
              <w:ind w:left="0"/>
              <w:rPr>
                <w:rFonts w:cs="Arial"/>
                <w:b/>
                <w:bCs/>
              </w:rPr>
            </w:pPr>
            <w:r>
              <w:rPr>
                <w:rFonts w:cs="Arial"/>
                <w:b/>
                <w:bCs/>
              </w:rPr>
              <w:t>Sovereign Rating</w:t>
            </w:r>
          </w:p>
        </w:tc>
        <w:tc>
          <w:tcPr>
            <w:tcW w:w="1248" w:type="pct"/>
            <w:tcBorders>
              <w:top w:val="single" w:sz="4" w:space="0" w:color="auto"/>
              <w:left w:val="single" w:sz="4" w:space="0" w:color="auto"/>
              <w:bottom w:val="single" w:sz="4" w:space="0" w:color="auto"/>
              <w:right w:val="single" w:sz="4" w:space="0" w:color="auto"/>
            </w:tcBorders>
            <w:hideMark/>
          </w:tcPr>
          <w:p w14:paraId="70268C3F" w14:textId="77777777" w:rsidR="0041570C" w:rsidRDefault="0041570C">
            <w:pPr>
              <w:pStyle w:val="ListParagraph"/>
              <w:keepNext/>
              <w:keepLines/>
              <w:spacing w:before="120" w:after="120"/>
              <w:ind w:left="0"/>
              <w:rPr>
                <w:rFonts w:cs="Arial"/>
                <w:b/>
                <w:bCs/>
              </w:rPr>
            </w:pPr>
            <w:r>
              <w:rPr>
                <w:rFonts w:cs="Arial"/>
                <w:b/>
                <w:bCs/>
              </w:rPr>
              <w:t xml:space="preserve">S&amp;P </w:t>
            </w:r>
          </w:p>
          <w:p w14:paraId="11DF4F57" w14:textId="77777777" w:rsidR="0041570C" w:rsidRDefault="0041570C">
            <w:pPr>
              <w:pStyle w:val="ListParagraph"/>
              <w:keepNext/>
              <w:keepLines/>
              <w:spacing w:before="120" w:after="120"/>
              <w:ind w:left="0"/>
              <w:rPr>
                <w:rFonts w:cs="Arial"/>
                <w:b/>
                <w:bCs/>
              </w:rPr>
            </w:pPr>
            <w:r>
              <w:rPr>
                <w:rFonts w:cs="Arial"/>
                <w:b/>
                <w:bCs/>
              </w:rPr>
              <w:t>Sovereign Rating</w:t>
            </w:r>
          </w:p>
        </w:tc>
        <w:tc>
          <w:tcPr>
            <w:tcW w:w="1248" w:type="pct"/>
            <w:tcBorders>
              <w:top w:val="single" w:sz="4" w:space="0" w:color="auto"/>
              <w:left w:val="single" w:sz="4" w:space="0" w:color="auto"/>
              <w:bottom w:val="single" w:sz="4" w:space="0" w:color="auto"/>
              <w:right w:val="single" w:sz="4" w:space="0" w:color="auto"/>
            </w:tcBorders>
            <w:hideMark/>
          </w:tcPr>
          <w:p w14:paraId="3EF37939" w14:textId="77777777" w:rsidR="0041570C" w:rsidRDefault="0041570C">
            <w:pPr>
              <w:pStyle w:val="ListParagraph"/>
              <w:keepNext/>
              <w:keepLines/>
              <w:spacing w:before="120" w:after="120"/>
              <w:ind w:left="0"/>
              <w:rPr>
                <w:rFonts w:cs="Arial"/>
                <w:b/>
                <w:bCs/>
              </w:rPr>
            </w:pPr>
            <w:r>
              <w:rPr>
                <w:rFonts w:cs="Arial"/>
                <w:b/>
                <w:bCs/>
              </w:rPr>
              <w:t>Moody’s</w:t>
            </w:r>
          </w:p>
          <w:p w14:paraId="1D7E5787" w14:textId="77777777" w:rsidR="0041570C" w:rsidRDefault="0041570C">
            <w:pPr>
              <w:pStyle w:val="ListParagraph"/>
              <w:keepNext/>
              <w:keepLines/>
              <w:spacing w:before="120" w:after="120"/>
              <w:ind w:left="0"/>
              <w:rPr>
                <w:rFonts w:cs="Arial"/>
                <w:b/>
                <w:bCs/>
              </w:rPr>
            </w:pPr>
            <w:r>
              <w:rPr>
                <w:rFonts w:cs="Arial"/>
                <w:b/>
                <w:bCs/>
              </w:rPr>
              <w:t>Sovereign Rating</w:t>
            </w:r>
          </w:p>
        </w:tc>
      </w:tr>
      <w:tr w:rsidR="0041570C" w14:paraId="507742D2" w14:textId="77777777" w:rsidTr="0041570C">
        <w:tc>
          <w:tcPr>
            <w:tcW w:w="1255" w:type="pct"/>
            <w:tcBorders>
              <w:top w:val="single" w:sz="4" w:space="0" w:color="auto"/>
              <w:left w:val="single" w:sz="4" w:space="0" w:color="auto"/>
              <w:bottom w:val="single" w:sz="4" w:space="0" w:color="auto"/>
              <w:right w:val="single" w:sz="4" w:space="0" w:color="auto"/>
            </w:tcBorders>
            <w:hideMark/>
          </w:tcPr>
          <w:p w14:paraId="302C0CC0" w14:textId="77777777" w:rsidR="0041570C" w:rsidRDefault="0041570C">
            <w:pPr>
              <w:pStyle w:val="ListParagraph"/>
              <w:keepNext/>
              <w:keepLines/>
              <w:spacing w:before="120" w:after="120"/>
              <w:ind w:left="0"/>
              <w:rPr>
                <w:rFonts w:cs="Arial"/>
              </w:rPr>
            </w:pPr>
            <w:r>
              <w:rPr>
                <w:rFonts w:cs="Arial"/>
              </w:rPr>
              <w:t>25</w:t>
            </w:r>
          </w:p>
        </w:tc>
        <w:tc>
          <w:tcPr>
            <w:tcW w:w="1248" w:type="pct"/>
            <w:tcBorders>
              <w:top w:val="single" w:sz="4" w:space="0" w:color="auto"/>
              <w:left w:val="single" w:sz="4" w:space="0" w:color="auto"/>
              <w:bottom w:val="single" w:sz="4" w:space="0" w:color="auto"/>
              <w:right w:val="single" w:sz="4" w:space="0" w:color="auto"/>
            </w:tcBorders>
            <w:hideMark/>
          </w:tcPr>
          <w:p w14:paraId="24F1E5DD" w14:textId="77777777" w:rsidR="0041570C" w:rsidRDefault="0041570C">
            <w:pPr>
              <w:pStyle w:val="ListParagraph"/>
              <w:keepNext/>
              <w:keepLines/>
              <w:spacing w:before="120" w:after="120"/>
              <w:ind w:left="0"/>
              <w:rPr>
                <w:rFonts w:cs="Arial"/>
              </w:rPr>
            </w:pPr>
            <w:r>
              <w:rPr>
                <w:rFonts w:cs="Arial"/>
              </w:rPr>
              <w:t>AAA</w:t>
            </w:r>
          </w:p>
        </w:tc>
        <w:tc>
          <w:tcPr>
            <w:tcW w:w="1248" w:type="pct"/>
            <w:tcBorders>
              <w:top w:val="single" w:sz="4" w:space="0" w:color="auto"/>
              <w:left w:val="single" w:sz="4" w:space="0" w:color="auto"/>
              <w:bottom w:val="single" w:sz="4" w:space="0" w:color="auto"/>
              <w:right w:val="single" w:sz="4" w:space="0" w:color="auto"/>
            </w:tcBorders>
            <w:hideMark/>
          </w:tcPr>
          <w:p w14:paraId="6F0C0707" w14:textId="77777777" w:rsidR="0041570C" w:rsidRDefault="0041570C">
            <w:pPr>
              <w:pStyle w:val="ListParagraph"/>
              <w:keepNext/>
              <w:keepLines/>
              <w:spacing w:before="120" w:after="120"/>
              <w:ind w:left="0"/>
              <w:rPr>
                <w:rFonts w:cs="Arial"/>
              </w:rPr>
            </w:pPr>
            <w:r>
              <w:rPr>
                <w:rFonts w:cs="Arial"/>
              </w:rPr>
              <w:t>AAA</w:t>
            </w:r>
          </w:p>
        </w:tc>
        <w:tc>
          <w:tcPr>
            <w:tcW w:w="1248" w:type="pct"/>
            <w:tcBorders>
              <w:top w:val="single" w:sz="4" w:space="0" w:color="auto"/>
              <w:left w:val="single" w:sz="4" w:space="0" w:color="auto"/>
              <w:bottom w:val="single" w:sz="4" w:space="0" w:color="auto"/>
              <w:right w:val="single" w:sz="4" w:space="0" w:color="auto"/>
            </w:tcBorders>
            <w:hideMark/>
          </w:tcPr>
          <w:p w14:paraId="3B769D24" w14:textId="77777777" w:rsidR="0041570C" w:rsidRDefault="0041570C">
            <w:pPr>
              <w:pStyle w:val="ListParagraph"/>
              <w:keepNext/>
              <w:keepLines/>
              <w:spacing w:before="120" w:after="120"/>
              <w:ind w:left="0"/>
              <w:rPr>
                <w:rFonts w:cs="Arial"/>
              </w:rPr>
            </w:pPr>
            <w:r>
              <w:rPr>
                <w:rFonts w:cs="Arial"/>
              </w:rPr>
              <w:t>Aaa</w:t>
            </w:r>
          </w:p>
        </w:tc>
      </w:tr>
      <w:tr w:rsidR="0041570C" w14:paraId="462A57ED" w14:textId="77777777" w:rsidTr="0041570C">
        <w:tc>
          <w:tcPr>
            <w:tcW w:w="1255" w:type="pct"/>
            <w:tcBorders>
              <w:top w:val="single" w:sz="4" w:space="0" w:color="auto"/>
              <w:left w:val="single" w:sz="4" w:space="0" w:color="auto"/>
              <w:bottom w:val="single" w:sz="4" w:space="0" w:color="auto"/>
              <w:right w:val="single" w:sz="4" w:space="0" w:color="auto"/>
            </w:tcBorders>
            <w:hideMark/>
          </w:tcPr>
          <w:p w14:paraId="0A4B5CD7" w14:textId="77777777" w:rsidR="0041570C" w:rsidRDefault="0041570C">
            <w:pPr>
              <w:pStyle w:val="ListParagraph"/>
              <w:keepNext/>
              <w:keepLines/>
              <w:spacing w:before="120" w:after="120"/>
              <w:ind w:left="0"/>
              <w:rPr>
                <w:rFonts w:cs="Arial"/>
              </w:rPr>
            </w:pPr>
            <w:r>
              <w:rPr>
                <w:rFonts w:cs="Arial"/>
              </w:rPr>
              <w:t>15</w:t>
            </w:r>
          </w:p>
        </w:tc>
        <w:tc>
          <w:tcPr>
            <w:tcW w:w="1248" w:type="pct"/>
            <w:tcBorders>
              <w:top w:val="single" w:sz="4" w:space="0" w:color="auto"/>
              <w:left w:val="single" w:sz="4" w:space="0" w:color="auto"/>
              <w:bottom w:val="single" w:sz="4" w:space="0" w:color="auto"/>
              <w:right w:val="single" w:sz="4" w:space="0" w:color="auto"/>
            </w:tcBorders>
            <w:hideMark/>
          </w:tcPr>
          <w:p w14:paraId="083562D3" w14:textId="77777777" w:rsidR="0041570C" w:rsidRDefault="0041570C">
            <w:pPr>
              <w:pStyle w:val="ListParagraph"/>
              <w:keepNext/>
              <w:keepLines/>
              <w:spacing w:before="120" w:after="120"/>
              <w:ind w:left="0"/>
              <w:rPr>
                <w:rFonts w:cs="Arial"/>
              </w:rPr>
            </w:pPr>
            <w:r>
              <w:rPr>
                <w:rFonts w:cs="Arial"/>
              </w:rPr>
              <w:t>AA+</w:t>
            </w:r>
          </w:p>
        </w:tc>
        <w:tc>
          <w:tcPr>
            <w:tcW w:w="1248" w:type="pct"/>
            <w:tcBorders>
              <w:top w:val="single" w:sz="4" w:space="0" w:color="auto"/>
              <w:left w:val="single" w:sz="4" w:space="0" w:color="auto"/>
              <w:bottom w:val="single" w:sz="4" w:space="0" w:color="auto"/>
              <w:right w:val="single" w:sz="4" w:space="0" w:color="auto"/>
            </w:tcBorders>
            <w:hideMark/>
          </w:tcPr>
          <w:p w14:paraId="031CED68" w14:textId="77777777" w:rsidR="0041570C" w:rsidRDefault="0041570C">
            <w:pPr>
              <w:pStyle w:val="ListParagraph"/>
              <w:keepNext/>
              <w:keepLines/>
              <w:spacing w:before="120" w:after="120"/>
              <w:ind w:left="0"/>
              <w:rPr>
                <w:rFonts w:cs="Arial"/>
              </w:rPr>
            </w:pPr>
            <w:r>
              <w:rPr>
                <w:rFonts w:cs="Arial"/>
              </w:rPr>
              <w:t>AA+</w:t>
            </w:r>
          </w:p>
        </w:tc>
        <w:tc>
          <w:tcPr>
            <w:tcW w:w="1248" w:type="pct"/>
            <w:tcBorders>
              <w:top w:val="single" w:sz="4" w:space="0" w:color="auto"/>
              <w:left w:val="single" w:sz="4" w:space="0" w:color="auto"/>
              <w:bottom w:val="single" w:sz="4" w:space="0" w:color="auto"/>
              <w:right w:val="single" w:sz="4" w:space="0" w:color="auto"/>
            </w:tcBorders>
            <w:hideMark/>
          </w:tcPr>
          <w:p w14:paraId="07CC5D77" w14:textId="77777777" w:rsidR="0041570C" w:rsidRDefault="0041570C">
            <w:pPr>
              <w:pStyle w:val="ListParagraph"/>
              <w:keepNext/>
              <w:keepLines/>
              <w:spacing w:before="120" w:after="120"/>
              <w:ind w:left="0"/>
              <w:rPr>
                <w:rFonts w:cs="Arial"/>
              </w:rPr>
            </w:pPr>
            <w:r>
              <w:rPr>
                <w:rFonts w:cs="Arial"/>
              </w:rPr>
              <w:t>Aa1</w:t>
            </w:r>
          </w:p>
        </w:tc>
      </w:tr>
      <w:tr w:rsidR="0041570C" w14:paraId="7E8F83D4" w14:textId="77777777" w:rsidTr="0041570C">
        <w:tc>
          <w:tcPr>
            <w:tcW w:w="1255" w:type="pct"/>
            <w:tcBorders>
              <w:top w:val="single" w:sz="4" w:space="0" w:color="auto"/>
              <w:left w:val="single" w:sz="4" w:space="0" w:color="auto"/>
              <w:bottom w:val="single" w:sz="4" w:space="0" w:color="auto"/>
              <w:right w:val="single" w:sz="4" w:space="0" w:color="auto"/>
            </w:tcBorders>
            <w:hideMark/>
          </w:tcPr>
          <w:p w14:paraId="617C0AAF" w14:textId="77777777" w:rsidR="0041570C" w:rsidRDefault="0041570C">
            <w:pPr>
              <w:pStyle w:val="ListParagraph"/>
              <w:keepNext/>
              <w:keepLines/>
              <w:spacing w:before="120" w:after="120"/>
              <w:ind w:left="0"/>
              <w:rPr>
                <w:rFonts w:cs="Arial"/>
              </w:rPr>
            </w:pPr>
            <w:r>
              <w:rPr>
                <w:rFonts w:cs="Arial"/>
              </w:rPr>
              <w:t>5</w:t>
            </w:r>
          </w:p>
        </w:tc>
        <w:tc>
          <w:tcPr>
            <w:tcW w:w="1248" w:type="pct"/>
            <w:tcBorders>
              <w:top w:val="single" w:sz="4" w:space="0" w:color="auto"/>
              <w:left w:val="single" w:sz="4" w:space="0" w:color="auto"/>
              <w:bottom w:val="single" w:sz="4" w:space="0" w:color="auto"/>
              <w:right w:val="single" w:sz="4" w:space="0" w:color="auto"/>
            </w:tcBorders>
            <w:hideMark/>
          </w:tcPr>
          <w:p w14:paraId="6EB2C632" w14:textId="77777777" w:rsidR="0041570C" w:rsidRDefault="0041570C">
            <w:pPr>
              <w:pStyle w:val="ListParagraph"/>
              <w:keepNext/>
              <w:keepLines/>
              <w:spacing w:before="120" w:after="120"/>
              <w:ind w:left="0"/>
              <w:rPr>
                <w:rFonts w:cs="Arial"/>
              </w:rPr>
            </w:pPr>
            <w:r>
              <w:rPr>
                <w:rFonts w:cs="Arial"/>
              </w:rPr>
              <w:t>A</w:t>
            </w:r>
          </w:p>
        </w:tc>
        <w:tc>
          <w:tcPr>
            <w:tcW w:w="1248" w:type="pct"/>
            <w:tcBorders>
              <w:top w:val="single" w:sz="4" w:space="0" w:color="auto"/>
              <w:left w:val="single" w:sz="4" w:space="0" w:color="auto"/>
              <w:bottom w:val="single" w:sz="4" w:space="0" w:color="auto"/>
              <w:right w:val="single" w:sz="4" w:space="0" w:color="auto"/>
            </w:tcBorders>
            <w:hideMark/>
          </w:tcPr>
          <w:p w14:paraId="5B6A5836" w14:textId="77777777" w:rsidR="0041570C" w:rsidRDefault="0041570C">
            <w:pPr>
              <w:pStyle w:val="ListParagraph"/>
              <w:keepNext/>
              <w:keepLines/>
              <w:spacing w:before="120" w:after="120"/>
              <w:ind w:left="0"/>
              <w:rPr>
                <w:rFonts w:cs="Arial"/>
              </w:rPr>
            </w:pPr>
            <w:r>
              <w:rPr>
                <w:rFonts w:cs="Arial"/>
              </w:rPr>
              <w:t>A</w:t>
            </w:r>
          </w:p>
        </w:tc>
        <w:tc>
          <w:tcPr>
            <w:tcW w:w="1248" w:type="pct"/>
            <w:tcBorders>
              <w:top w:val="single" w:sz="4" w:space="0" w:color="auto"/>
              <w:left w:val="single" w:sz="4" w:space="0" w:color="auto"/>
              <w:bottom w:val="single" w:sz="4" w:space="0" w:color="auto"/>
              <w:right w:val="single" w:sz="4" w:space="0" w:color="auto"/>
            </w:tcBorders>
            <w:hideMark/>
          </w:tcPr>
          <w:p w14:paraId="19C6E6C3" w14:textId="77777777" w:rsidR="0041570C" w:rsidRDefault="0041570C">
            <w:pPr>
              <w:pStyle w:val="ListParagraph"/>
              <w:keepNext/>
              <w:keepLines/>
              <w:spacing w:before="120" w:after="120"/>
              <w:ind w:left="0"/>
              <w:rPr>
                <w:rFonts w:cs="Arial"/>
              </w:rPr>
            </w:pPr>
            <w:r>
              <w:rPr>
                <w:rFonts w:cs="Arial"/>
              </w:rPr>
              <w:t>A</w:t>
            </w:r>
          </w:p>
        </w:tc>
      </w:tr>
    </w:tbl>
    <w:p w14:paraId="62C156AC" w14:textId="77777777" w:rsidR="0041570C" w:rsidRDefault="0041570C" w:rsidP="0041570C">
      <w:pPr>
        <w:rPr>
          <w:rFonts w:cs="Arial"/>
          <w:szCs w:val="24"/>
        </w:rPr>
      </w:pPr>
    </w:p>
    <w:p w14:paraId="2E26EBA9" w14:textId="77777777" w:rsidR="0041570C" w:rsidRDefault="0041570C" w:rsidP="0041570C">
      <w:pPr>
        <w:rPr>
          <w:rFonts w:cs="Arial"/>
          <w:szCs w:val="24"/>
        </w:rPr>
      </w:pPr>
      <w:r>
        <w:rPr>
          <w:rFonts w:cs="Arial"/>
          <w:szCs w:val="24"/>
        </w:rPr>
        <w:t>Note: for non-UK, non-financial institutions, or in circumstances such as an instrument being issued through a subsidiary domiciled in one country but guaranteed or otherwise secured by a parent in another, the risks and appropriate country limit (if any, in the case of multinational corporations) in which to aggregate the exposure will be considered on a case by case basis and determined by the Director of Finance or delegated manager.</w:t>
      </w:r>
    </w:p>
    <w:p w14:paraId="262B90CE" w14:textId="77777777" w:rsidR="0041570C" w:rsidRDefault="0041570C" w:rsidP="0041570C">
      <w:pPr>
        <w:rPr>
          <w:rFonts w:cs="Arial"/>
          <w:szCs w:val="24"/>
        </w:rPr>
      </w:pPr>
      <w:r>
        <w:rPr>
          <w:rFonts w:cs="Arial"/>
          <w:szCs w:val="24"/>
        </w:rPr>
        <w:t>Table 3 sets out the range of investment grade ratings used by the Council and its investment managers.</w:t>
      </w:r>
    </w:p>
    <w:p w14:paraId="705F0394" w14:textId="77777777" w:rsidR="0041570C" w:rsidRDefault="0041570C" w:rsidP="0041570C">
      <w:pPr>
        <w:keepNext/>
        <w:spacing w:before="120" w:after="240" w:line="360" w:lineRule="auto"/>
        <w:contextualSpacing/>
        <w:rPr>
          <w:rFonts w:cs="Arial"/>
          <w:b/>
          <w:bCs/>
          <w:szCs w:val="24"/>
        </w:rPr>
      </w:pPr>
      <w:bookmarkStart w:id="21" w:name="_Ref508975141"/>
      <w:r>
        <w:rPr>
          <w:rFonts w:cs="Arial"/>
          <w:b/>
          <w:bCs/>
          <w:szCs w:val="24"/>
        </w:rPr>
        <w:lastRenderedPageBreak/>
        <w:t>Table 2 - Permitted credit ratings and equivalence mappings</w:t>
      </w:r>
      <w:bookmarkEnd w:id="21"/>
      <w:r>
        <w:rPr>
          <w:rFonts w:cs="Arial"/>
          <w:b/>
          <w:bCs/>
          <w:szCs w:val="24"/>
        </w:rPr>
        <w:t>:</w:t>
      </w:r>
    </w:p>
    <w:tbl>
      <w:tblPr>
        <w:tblStyle w:val="GridTable1Ligh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380"/>
        <w:gridCol w:w="1382"/>
        <w:gridCol w:w="7"/>
        <w:gridCol w:w="1374"/>
        <w:gridCol w:w="1380"/>
        <w:gridCol w:w="13"/>
        <w:gridCol w:w="1369"/>
        <w:gridCol w:w="1377"/>
        <w:gridCol w:w="8"/>
        <w:gridCol w:w="15"/>
      </w:tblGrid>
      <w:tr w:rsidR="0041570C" w14:paraId="4938F54A" w14:textId="77777777" w:rsidTr="0041570C">
        <w:trPr>
          <w:gridAfter w:val="1"/>
          <w:cnfStyle w:val="100000000000" w:firstRow="1" w:lastRow="0" w:firstColumn="0" w:lastColumn="0" w:oddVBand="0" w:evenVBand="0" w:oddHBand="0" w:evenHBand="0" w:firstRowFirstColumn="0" w:firstRowLastColumn="0" w:lastRowFirstColumn="0" w:lastRowLastColumn="0"/>
          <w:wAfter w:w="16" w:type="dxa"/>
          <w:trHeight w:val="397"/>
        </w:trPr>
        <w:tc>
          <w:tcPr>
            <w:tcW w:w="4990" w:type="pct"/>
            <w:gridSpan w:val="9"/>
            <w:tcBorders>
              <w:top w:val="single" w:sz="4" w:space="0" w:color="auto"/>
              <w:left w:val="single" w:sz="4" w:space="0" w:color="auto"/>
              <w:bottom w:val="single" w:sz="4" w:space="0" w:color="auto"/>
              <w:right w:val="single" w:sz="4" w:space="0" w:color="auto"/>
            </w:tcBorders>
            <w:hideMark/>
          </w:tcPr>
          <w:p w14:paraId="08192F51" w14:textId="77777777" w:rsidR="0041570C" w:rsidRDefault="0041570C">
            <w:pPr>
              <w:keepNext/>
              <w:keepLines/>
              <w:spacing w:before="120" w:after="120"/>
              <w:rPr>
                <w:rFonts w:cs="Arial"/>
                <w:szCs w:val="24"/>
              </w:rPr>
            </w:pPr>
            <w:r>
              <w:rPr>
                <w:rFonts w:cs="Arial"/>
                <w:szCs w:val="24"/>
              </w:rPr>
              <w:t>Issuer and/or Senior Unsecured Bond Ratings</w:t>
            </w:r>
          </w:p>
        </w:tc>
      </w:tr>
      <w:tr w:rsidR="0041570C" w14:paraId="4DBAE3EF" w14:textId="77777777" w:rsidTr="0041570C">
        <w:trPr>
          <w:gridAfter w:val="1"/>
          <w:wAfter w:w="16" w:type="dxa"/>
          <w:trHeight w:val="397"/>
        </w:trPr>
        <w:tc>
          <w:tcPr>
            <w:tcW w:w="2494" w:type="pct"/>
            <w:gridSpan w:val="4"/>
            <w:tcBorders>
              <w:top w:val="single" w:sz="4" w:space="0" w:color="auto"/>
              <w:left w:val="single" w:sz="4" w:space="0" w:color="auto"/>
              <w:bottom w:val="single" w:sz="4" w:space="0" w:color="auto"/>
              <w:right w:val="single" w:sz="4" w:space="0" w:color="auto"/>
            </w:tcBorders>
            <w:hideMark/>
          </w:tcPr>
          <w:p w14:paraId="292700EF" w14:textId="77777777" w:rsidR="0041570C" w:rsidRDefault="0041570C">
            <w:pPr>
              <w:pStyle w:val="NormalSm"/>
              <w:keepNext/>
              <w:keepLines/>
              <w:spacing w:before="120" w:after="120" w:line="240" w:lineRule="auto"/>
              <w:rPr>
                <w:rFonts w:ascii="Arial" w:hAnsi="Arial" w:cs="Arial"/>
                <w:b/>
                <w:lang w:eastAsia="en-US"/>
              </w:rPr>
            </w:pPr>
            <w:r>
              <w:rPr>
                <w:rFonts w:ascii="Arial" w:hAnsi="Arial" w:cs="Arial"/>
                <w:b/>
                <w:lang w:eastAsia="en-US"/>
              </w:rPr>
              <w:t>Long term</w:t>
            </w:r>
          </w:p>
        </w:tc>
        <w:tc>
          <w:tcPr>
            <w:tcW w:w="2497" w:type="pct"/>
            <w:gridSpan w:val="5"/>
            <w:tcBorders>
              <w:top w:val="single" w:sz="4" w:space="0" w:color="auto"/>
              <w:left w:val="single" w:sz="4" w:space="0" w:color="auto"/>
              <w:bottom w:val="single" w:sz="4" w:space="0" w:color="auto"/>
              <w:right w:val="single" w:sz="4" w:space="0" w:color="auto"/>
            </w:tcBorders>
            <w:hideMark/>
          </w:tcPr>
          <w:p w14:paraId="585B9DA0" w14:textId="77777777" w:rsidR="0041570C" w:rsidRDefault="0041570C">
            <w:pPr>
              <w:pStyle w:val="NormalSm"/>
              <w:keepNext/>
              <w:keepLines/>
              <w:spacing w:before="120" w:after="120" w:line="240" w:lineRule="auto"/>
              <w:rPr>
                <w:rFonts w:ascii="Arial" w:hAnsi="Arial" w:cs="Arial"/>
                <w:b/>
                <w:lang w:eastAsia="en-US"/>
              </w:rPr>
            </w:pPr>
            <w:r>
              <w:rPr>
                <w:rFonts w:ascii="Arial" w:hAnsi="Arial" w:cs="Arial"/>
                <w:b/>
                <w:lang w:eastAsia="en-US"/>
              </w:rPr>
              <w:t>Short term</w:t>
            </w:r>
          </w:p>
        </w:tc>
      </w:tr>
      <w:tr w:rsidR="0041570C" w14:paraId="33A93863" w14:textId="77777777" w:rsidTr="0041570C">
        <w:trPr>
          <w:gridAfter w:val="1"/>
          <w:wAfter w:w="16" w:type="dxa"/>
          <w:trHeight w:val="397"/>
        </w:trPr>
        <w:tc>
          <w:tcPr>
            <w:tcW w:w="831" w:type="pct"/>
            <w:tcBorders>
              <w:top w:val="single" w:sz="4" w:space="0" w:color="auto"/>
              <w:left w:val="single" w:sz="4" w:space="0" w:color="auto"/>
              <w:bottom w:val="single" w:sz="4" w:space="0" w:color="auto"/>
              <w:right w:val="single" w:sz="4" w:space="0" w:color="auto"/>
            </w:tcBorders>
            <w:hideMark/>
          </w:tcPr>
          <w:p w14:paraId="15C71561" w14:textId="77777777" w:rsidR="0041570C" w:rsidRDefault="0041570C">
            <w:pPr>
              <w:pStyle w:val="NormalSm"/>
              <w:keepNext/>
              <w:keepLines/>
              <w:spacing w:before="120" w:after="120" w:line="240" w:lineRule="auto"/>
              <w:rPr>
                <w:rFonts w:ascii="Arial" w:hAnsi="Arial" w:cs="Arial"/>
                <w:b/>
                <w:bCs/>
                <w:lang w:eastAsia="en-US"/>
              </w:rPr>
            </w:pPr>
            <w:r>
              <w:rPr>
                <w:rFonts w:ascii="Arial" w:hAnsi="Arial" w:cs="Arial"/>
                <w:b/>
                <w:bCs/>
                <w:lang w:eastAsia="en-US"/>
              </w:rPr>
              <w:t>Fitch</w:t>
            </w:r>
          </w:p>
        </w:tc>
        <w:tc>
          <w:tcPr>
            <w:tcW w:w="832" w:type="pct"/>
            <w:tcBorders>
              <w:top w:val="single" w:sz="4" w:space="0" w:color="auto"/>
              <w:left w:val="single" w:sz="4" w:space="0" w:color="auto"/>
              <w:bottom w:val="single" w:sz="4" w:space="0" w:color="auto"/>
              <w:right w:val="single" w:sz="4" w:space="0" w:color="auto"/>
            </w:tcBorders>
            <w:hideMark/>
          </w:tcPr>
          <w:p w14:paraId="118BDDA4" w14:textId="77777777" w:rsidR="0041570C" w:rsidRDefault="0041570C">
            <w:pPr>
              <w:pStyle w:val="NormalSm"/>
              <w:keepNext/>
              <w:keepLines/>
              <w:spacing w:before="120" w:after="120" w:line="240" w:lineRule="auto"/>
              <w:rPr>
                <w:rFonts w:ascii="Arial" w:hAnsi="Arial" w:cs="Arial"/>
                <w:b/>
                <w:bCs/>
                <w:lang w:eastAsia="en-US"/>
              </w:rPr>
            </w:pPr>
            <w:r>
              <w:rPr>
                <w:rFonts w:ascii="Arial" w:hAnsi="Arial" w:cs="Arial"/>
                <w:b/>
                <w:bCs/>
                <w:lang w:eastAsia="en-US"/>
              </w:rPr>
              <w:t>Moody’s</w:t>
            </w:r>
          </w:p>
        </w:tc>
        <w:tc>
          <w:tcPr>
            <w:tcW w:w="831" w:type="pct"/>
            <w:gridSpan w:val="2"/>
            <w:tcBorders>
              <w:top w:val="single" w:sz="4" w:space="0" w:color="auto"/>
              <w:left w:val="single" w:sz="4" w:space="0" w:color="auto"/>
              <w:bottom w:val="single" w:sz="4" w:space="0" w:color="auto"/>
              <w:right w:val="single" w:sz="4" w:space="0" w:color="auto"/>
            </w:tcBorders>
            <w:hideMark/>
          </w:tcPr>
          <w:p w14:paraId="3DC2A748" w14:textId="77777777" w:rsidR="0041570C" w:rsidRDefault="0041570C">
            <w:pPr>
              <w:pStyle w:val="NormalSm"/>
              <w:keepNext/>
              <w:keepLines/>
              <w:spacing w:before="120" w:after="120" w:line="240" w:lineRule="auto"/>
              <w:rPr>
                <w:rFonts w:ascii="Arial" w:hAnsi="Arial" w:cs="Arial"/>
                <w:b/>
                <w:bCs/>
                <w:lang w:eastAsia="en-US"/>
              </w:rPr>
            </w:pPr>
            <w:r>
              <w:rPr>
                <w:rFonts w:ascii="Arial" w:hAnsi="Arial" w:cs="Arial"/>
                <w:b/>
                <w:bCs/>
                <w:lang w:eastAsia="en-US"/>
              </w:rPr>
              <w:t>S&amp;P</w:t>
            </w:r>
          </w:p>
        </w:tc>
        <w:tc>
          <w:tcPr>
            <w:tcW w:w="831" w:type="pct"/>
            <w:tcBorders>
              <w:top w:val="single" w:sz="4" w:space="0" w:color="auto"/>
              <w:left w:val="single" w:sz="4" w:space="0" w:color="auto"/>
              <w:bottom w:val="single" w:sz="4" w:space="0" w:color="auto"/>
              <w:right w:val="single" w:sz="4" w:space="0" w:color="auto"/>
            </w:tcBorders>
            <w:hideMark/>
          </w:tcPr>
          <w:p w14:paraId="6F9852AA" w14:textId="77777777" w:rsidR="0041570C" w:rsidRDefault="0041570C">
            <w:pPr>
              <w:pStyle w:val="NormalSm"/>
              <w:keepNext/>
              <w:keepLines/>
              <w:spacing w:before="120" w:after="120" w:line="240" w:lineRule="auto"/>
              <w:rPr>
                <w:rFonts w:ascii="Arial" w:hAnsi="Arial" w:cs="Arial"/>
                <w:b/>
                <w:bCs/>
                <w:lang w:eastAsia="en-US"/>
              </w:rPr>
            </w:pPr>
            <w:r>
              <w:rPr>
                <w:rFonts w:ascii="Arial" w:hAnsi="Arial" w:cs="Arial"/>
                <w:b/>
                <w:bCs/>
                <w:lang w:eastAsia="en-US"/>
              </w:rPr>
              <w:t>Fitch</w:t>
            </w:r>
          </w:p>
        </w:tc>
        <w:tc>
          <w:tcPr>
            <w:tcW w:w="832" w:type="pct"/>
            <w:gridSpan w:val="2"/>
            <w:tcBorders>
              <w:top w:val="single" w:sz="4" w:space="0" w:color="auto"/>
              <w:left w:val="single" w:sz="4" w:space="0" w:color="auto"/>
              <w:bottom w:val="single" w:sz="4" w:space="0" w:color="auto"/>
              <w:right w:val="single" w:sz="4" w:space="0" w:color="auto"/>
            </w:tcBorders>
            <w:hideMark/>
          </w:tcPr>
          <w:p w14:paraId="41A837F9" w14:textId="77777777" w:rsidR="0041570C" w:rsidRDefault="0041570C">
            <w:pPr>
              <w:pStyle w:val="NormalSm"/>
              <w:keepNext/>
              <w:keepLines/>
              <w:spacing w:before="120" w:after="120" w:line="240" w:lineRule="auto"/>
              <w:rPr>
                <w:rFonts w:ascii="Arial" w:hAnsi="Arial" w:cs="Arial"/>
                <w:b/>
                <w:bCs/>
                <w:lang w:eastAsia="en-US"/>
              </w:rPr>
            </w:pPr>
            <w:r>
              <w:rPr>
                <w:rFonts w:ascii="Arial" w:hAnsi="Arial" w:cs="Arial"/>
                <w:b/>
                <w:bCs/>
                <w:lang w:eastAsia="en-US"/>
              </w:rPr>
              <w:t>Moody’s</w:t>
            </w:r>
          </w:p>
        </w:tc>
        <w:tc>
          <w:tcPr>
            <w:tcW w:w="834" w:type="pct"/>
            <w:gridSpan w:val="2"/>
            <w:tcBorders>
              <w:top w:val="single" w:sz="4" w:space="0" w:color="auto"/>
              <w:left w:val="single" w:sz="4" w:space="0" w:color="auto"/>
              <w:bottom w:val="single" w:sz="4" w:space="0" w:color="auto"/>
              <w:right w:val="single" w:sz="4" w:space="0" w:color="auto"/>
            </w:tcBorders>
            <w:hideMark/>
          </w:tcPr>
          <w:p w14:paraId="6D781ACE" w14:textId="77777777" w:rsidR="0041570C" w:rsidRDefault="0041570C">
            <w:pPr>
              <w:pStyle w:val="NormalSm"/>
              <w:keepNext/>
              <w:keepLines/>
              <w:spacing w:before="120" w:after="120" w:line="240" w:lineRule="auto"/>
              <w:rPr>
                <w:rFonts w:ascii="Arial" w:hAnsi="Arial" w:cs="Arial"/>
                <w:b/>
                <w:bCs/>
                <w:lang w:eastAsia="en-US"/>
              </w:rPr>
            </w:pPr>
            <w:r>
              <w:rPr>
                <w:rFonts w:ascii="Arial" w:hAnsi="Arial" w:cs="Arial"/>
                <w:b/>
                <w:bCs/>
                <w:lang w:eastAsia="en-US"/>
              </w:rPr>
              <w:t>S&amp;P</w:t>
            </w:r>
          </w:p>
        </w:tc>
      </w:tr>
      <w:tr w:rsidR="0041570C" w14:paraId="058DF8E4" w14:textId="77777777" w:rsidTr="0041570C">
        <w:trPr>
          <w:gridAfter w:val="1"/>
          <w:wAfter w:w="16" w:type="dxa"/>
          <w:trHeight w:val="397"/>
        </w:trPr>
        <w:tc>
          <w:tcPr>
            <w:tcW w:w="831" w:type="pct"/>
            <w:tcBorders>
              <w:top w:val="single" w:sz="4" w:space="0" w:color="auto"/>
              <w:left w:val="single" w:sz="4" w:space="0" w:color="auto"/>
              <w:bottom w:val="single" w:sz="4" w:space="0" w:color="auto"/>
              <w:right w:val="single" w:sz="4" w:space="0" w:color="auto"/>
            </w:tcBorders>
            <w:hideMark/>
          </w:tcPr>
          <w:p w14:paraId="7DE50900"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AAA</w:t>
            </w:r>
          </w:p>
        </w:tc>
        <w:tc>
          <w:tcPr>
            <w:tcW w:w="832" w:type="pct"/>
            <w:tcBorders>
              <w:top w:val="single" w:sz="4" w:space="0" w:color="auto"/>
              <w:left w:val="single" w:sz="4" w:space="0" w:color="auto"/>
              <w:bottom w:val="single" w:sz="4" w:space="0" w:color="auto"/>
              <w:right w:val="single" w:sz="4" w:space="0" w:color="auto"/>
            </w:tcBorders>
            <w:hideMark/>
          </w:tcPr>
          <w:p w14:paraId="56973970"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Aaa</w:t>
            </w:r>
          </w:p>
        </w:tc>
        <w:tc>
          <w:tcPr>
            <w:tcW w:w="831" w:type="pct"/>
            <w:gridSpan w:val="2"/>
            <w:tcBorders>
              <w:top w:val="single" w:sz="4" w:space="0" w:color="auto"/>
              <w:left w:val="single" w:sz="4" w:space="0" w:color="auto"/>
              <w:bottom w:val="single" w:sz="4" w:space="0" w:color="auto"/>
              <w:right w:val="single" w:sz="4" w:space="0" w:color="auto"/>
            </w:tcBorders>
            <w:hideMark/>
          </w:tcPr>
          <w:p w14:paraId="02836205"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AAA</w:t>
            </w:r>
          </w:p>
        </w:tc>
        <w:tc>
          <w:tcPr>
            <w:tcW w:w="831" w:type="pct"/>
            <w:tcBorders>
              <w:top w:val="single" w:sz="4" w:space="0" w:color="auto"/>
              <w:left w:val="single" w:sz="4" w:space="0" w:color="auto"/>
              <w:bottom w:val="single" w:sz="4" w:space="0" w:color="auto"/>
              <w:right w:val="single" w:sz="4" w:space="0" w:color="auto"/>
            </w:tcBorders>
          </w:tcPr>
          <w:p w14:paraId="0554159D" w14:textId="77777777" w:rsidR="0041570C" w:rsidRDefault="0041570C">
            <w:pPr>
              <w:pStyle w:val="NormalSm"/>
              <w:keepNext/>
              <w:keepLines/>
              <w:spacing w:before="120" w:after="120" w:line="240" w:lineRule="auto"/>
              <w:rPr>
                <w:rFonts w:ascii="Arial" w:hAnsi="Arial" w:cs="Arial"/>
                <w:bCs/>
                <w:lang w:eastAsia="en-US"/>
              </w:rPr>
            </w:pPr>
          </w:p>
        </w:tc>
        <w:tc>
          <w:tcPr>
            <w:tcW w:w="832" w:type="pct"/>
            <w:gridSpan w:val="2"/>
            <w:tcBorders>
              <w:top w:val="single" w:sz="4" w:space="0" w:color="auto"/>
              <w:left w:val="single" w:sz="4" w:space="0" w:color="auto"/>
              <w:bottom w:val="single" w:sz="4" w:space="0" w:color="auto"/>
              <w:right w:val="single" w:sz="4" w:space="0" w:color="auto"/>
            </w:tcBorders>
          </w:tcPr>
          <w:p w14:paraId="05CDD992" w14:textId="77777777" w:rsidR="0041570C" w:rsidRDefault="0041570C">
            <w:pPr>
              <w:pStyle w:val="NormalSm"/>
              <w:keepNext/>
              <w:keepLines/>
              <w:spacing w:before="120" w:after="120" w:line="240" w:lineRule="auto"/>
              <w:rPr>
                <w:rFonts w:ascii="Arial" w:hAnsi="Arial" w:cs="Arial"/>
                <w:bCs/>
                <w:lang w:eastAsia="en-US"/>
              </w:rPr>
            </w:pPr>
          </w:p>
        </w:tc>
        <w:tc>
          <w:tcPr>
            <w:tcW w:w="834" w:type="pct"/>
            <w:gridSpan w:val="2"/>
            <w:tcBorders>
              <w:top w:val="single" w:sz="4" w:space="0" w:color="auto"/>
              <w:left w:val="single" w:sz="4" w:space="0" w:color="auto"/>
              <w:bottom w:val="single" w:sz="4" w:space="0" w:color="auto"/>
              <w:right w:val="single" w:sz="4" w:space="0" w:color="auto"/>
            </w:tcBorders>
          </w:tcPr>
          <w:p w14:paraId="45205C9E" w14:textId="77777777" w:rsidR="0041570C" w:rsidRDefault="0041570C">
            <w:pPr>
              <w:pStyle w:val="NormalSm"/>
              <w:keepNext/>
              <w:keepLines/>
              <w:spacing w:before="120" w:after="120" w:line="240" w:lineRule="auto"/>
              <w:rPr>
                <w:rFonts w:ascii="Arial" w:hAnsi="Arial" w:cs="Arial"/>
                <w:bCs/>
                <w:lang w:eastAsia="en-US"/>
              </w:rPr>
            </w:pPr>
          </w:p>
        </w:tc>
      </w:tr>
      <w:tr w:rsidR="0041570C" w14:paraId="39451682" w14:textId="77777777" w:rsidTr="0041570C">
        <w:trPr>
          <w:gridAfter w:val="1"/>
          <w:wAfter w:w="16" w:type="dxa"/>
          <w:trHeight w:val="397"/>
        </w:trPr>
        <w:tc>
          <w:tcPr>
            <w:tcW w:w="831" w:type="pct"/>
            <w:tcBorders>
              <w:top w:val="single" w:sz="4" w:space="0" w:color="auto"/>
              <w:left w:val="single" w:sz="4" w:space="0" w:color="auto"/>
              <w:bottom w:val="single" w:sz="4" w:space="0" w:color="auto"/>
              <w:right w:val="single" w:sz="4" w:space="0" w:color="auto"/>
            </w:tcBorders>
            <w:hideMark/>
          </w:tcPr>
          <w:p w14:paraId="3291E718"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AA+</w:t>
            </w:r>
          </w:p>
        </w:tc>
        <w:tc>
          <w:tcPr>
            <w:tcW w:w="832" w:type="pct"/>
            <w:tcBorders>
              <w:top w:val="single" w:sz="4" w:space="0" w:color="auto"/>
              <w:left w:val="single" w:sz="4" w:space="0" w:color="auto"/>
              <w:bottom w:val="single" w:sz="4" w:space="0" w:color="auto"/>
              <w:right w:val="single" w:sz="4" w:space="0" w:color="auto"/>
            </w:tcBorders>
            <w:hideMark/>
          </w:tcPr>
          <w:p w14:paraId="225B5A43"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Aa1</w:t>
            </w:r>
          </w:p>
        </w:tc>
        <w:tc>
          <w:tcPr>
            <w:tcW w:w="831" w:type="pct"/>
            <w:gridSpan w:val="2"/>
            <w:tcBorders>
              <w:top w:val="single" w:sz="4" w:space="0" w:color="auto"/>
              <w:left w:val="single" w:sz="4" w:space="0" w:color="auto"/>
              <w:bottom w:val="single" w:sz="4" w:space="0" w:color="auto"/>
              <w:right w:val="single" w:sz="4" w:space="0" w:color="auto"/>
            </w:tcBorders>
            <w:hideMark/>
          </w:tcPr>
          <w:p w14:paraId="25A28E50"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AA+</w:t>
            </w:r>
          </w:p>
        </w:tc>
        <w:tc>
          <w:tcPr>
            <w:tcW w:w="831" w:type="pct"/>
            <w:tcBorders>
              <w:top w:val="single" w:sz="4" w:space="0" w:color="auto"/>
              <w:left w:val="single" w:sz="4" w:space="0" w:color="auto"/>
              <w:bottom w:val="single" w:sz="4" w:space="0" w:color="auto"/>
              <w:right w:val="single" w:sz="4" w:space="0" w:color="auto"/>
            </w:tcBorders>
          </w:tcPr>
          <w:p w14:paraId="683A61F6" w14:textId="77777777" w:rsidR="0041570C" w:rsidRDefault="0041570C">
            <w:pPr>
              <w:pStyle w:val="NormalSm"/>
              <w:keepNext/>
              <w:keepLines/>
              <w:spacing w:before="120" w:after="120" w:line="240" w:lineRule="auto"/>
              <w:rPr>
                <w:rFonts w:ascii="Arial" w:hAnsi="Arial" w:cs="Arial"/>
                <w:bCs/>
                <w:lang w:eastAsia="en-US"/>
              </w:rPr>
            </w:pPr>
          </w:p>
        </w:tc>
        <w:tc>
          <w:tcPr>
            <w:tcW w:w="832" w:type="pct"/>
            <w:gridSpan w:val="2"/>
            <w:tcBorders>
              <w:top w:val="single" w:sz="4" w:space="0" w:color="auto"/>
              <w:left w:val="single" w:sz="4" w:space="0" w:color="auto"/>
              <w:bottom w:val="single" w:sz="4" w:space="0" w:color="auto"/>
              <w:right w:val="single" w:sz="4" w:space="0" w:color="auto"/>
            </w:tcBorders>
          </w:tcPr>
          <w:p w14:paraId="22CCFE79" w14:textId="77777777" w:rsidR="0041570C" w:rsidRDefault="0041570C">
            <w:pPr>
              <w:pStyle w:val="NormalSm"/>
              <w:keepNext/>
              <w:keepLines/>
              <w:spacing w:before="120" w:after="120" w:line="240" w:lineRule="auto"/>
              <w:rPr>
                <w:rFonts w:ascii="Arial" w:hAnsi="Arial" w:cs="Arial"/>
                <w:bCs/>
                <w:lang w:eastAsia="en-US"/>
              </w:rPr>
            </w:pPr>
          </w:p>
        </w:tc>
        <w:tc>
          <w:tcPr>
            <w:tcW w:w="834" w:type="pct"/>
            <w:gridSpan w:val="2"/>
            <w:tcBorders>
              <w:top w:val="single" w:sz="4" w:space="0" w:color="auto"/>
              <w:left w:val="single" w:sz="4" w:space="0" w:color="auto"/>
              <w:bottom w:val="single" w:sz="4" w:space="0" w:color="auto"/>
              <w:right w:val="single" w:sz="4" w:space="0" w:color="auto"/>
            </w:tcBorders>
          </w:tcPr>
          <w:p w14:paraId="2D4B3536" w14:textId="77777777" w:rsidR="0041570C" w:rsidRDefault="0041570C">
            <w:pPr>
              <w:pStyle w:val="NormalSm"/>
              <w:keepNext/>
              <w:keepLines/>
              <w:spacing w:before="120" w:after="120" w:line="240" w:lineRule="auto"/>
              <w:rPr>
                <w:rFonts w:ascii="Arial" w:hAnsi="Arial" w:cs="Arial"/>
                <w:bCs/>
                <w:lang w:eastAsia="en-US"/>
              </w:rPr>
            </w:pPr>
          </w:p>
        </w:tc>
      </w:tr>
      <w:tr w:rsidR="0041570C" w14:paraId="00D877B1" w14:textId="77777777" w:rsidTr="0041570C">
        <w:trPr>
          <w:gridAfter w:val="1"/>
          <w:wAfter w:w="16" w:type="dxa"/>
          <w:trHeight w:val="397"/>
        </w:trPr>
        <w:tc>
          <w:tcPr>
            <w:tcW w:w="831" w:type="pct"/>
            <w:tcBorders>
              <w:top w:val="single" w:sz="4" w:space="0" w:color="auto"/>
              <w:left w:val="single" w:sz="4" w:space="0" w:color="auto"/>
              <w:bottom w:val="single" w:sz="4" w:space="0" w:color="auto"/>
              <w:right w:val="single" w:sz="4" w:space="0" w:color="auto"/>
            </w:tcBorders>
            <w:hideMark/>
          </w:tcPr>
          <w:p w14:paraId="2A7D546A"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AA</w:t>
            </w:r>
          </w:p>
        </w:tc>
        <w:tc>
          <w:tcPr>
            <w:tcW w:w="832" w:type="pct"/>
            <w:tcBorders>
              <w:top w:val="single" w:sz="4" w:space="0" w:color="auto"/>
              <w:left w:val="single" w:sz="4" w:space="0" w:color="auto"/>
              <w:bottom w:val="single" w:sz="4" w:space="0" w:color="auto"/>
              <w:right w:val="single" w:sz="4" w:space="0" w:color="auto"/>
            </w:tcBorders>
            <w:hideMark/>
          </w:tcPr>
          <w:p w14:paraId="251C4286"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Aa2</w:t>
            </w:r>
          </w:p>
        </w:tc>
        <w:tc>
          <w:tcPr>
            <w:tcW w:w="831" w:type="pct"/>
            <w:gridSpan w:val="2"/>
            <w:tcBorders>
              <w:top w:val="single" w:sz="4" w:space="0" w:color="auto"/>
              <w:left w:val="single" w:sz="4" w:space="0" w:color="auto"/>
              <w:bottom w:val="single" w:sz="4" w:space="0" w:color="auto"/>
              <w:right w:val="single" w:sz="4" w:space="0" w:color="auto"/>
            </w:tcBorders>
            <w:hideMark/>
          </w:tcPr>
          <w:p w14:paraId="4830C441"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AA</w:t>
            </w:r>
          </w:p>
        </w:tc>
        <w:tc>
          <w:tcPr>
            <w:tcW w:w="831" w:type="pct"/>
            <w:tcBorders>
              <w:top w:val="single" w:sz="4" w:space="0" w:color="auto"/>
              <w:left w:val="single" w:sz="4" w:space="0" w:color="auto"/>
              <w:bottom w:val="single" w:sz="4" w:space="0" w:color="auto"/>
              <w:right w:val="single" w:sz="4" w:space="0" w:color="auto"/>
            </w:tcBorders>
            <w:hideMark/>
          </w:tcPr>
          <w:p w14:paraId="11E5C696"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F1+</w:t>
            </w:r>
          </w:p>
        </w:tc>
        <w:tc>
          <w:tcPr>
            <w:tcW w:w="832" w:type="pct"/>
            <w:gridSpan w:val="2"/>
            <w:tcBorders>
              <w:top w:val="single" w:sz="4" w:space="0" w:color="auto"/>
              <w:left w:val="single" w:sz="4" w:space="0" w:color="auto"/>
              <w:bottom w:val="single" w:sz="4" w:space="0" w:color="auto"/>
              <w:right w:val="single" w:sz="4" w:space="0" w:color="auto"/>
            </w:tcBorders>
            <w:hideMark/>
          </w:tcPr>
          <w:p w14:paraId="37001B38"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P-1</w:t>
            </w:r>
          </w:p>
        </w:tc>
        <w:tc>
          <w:tcPr>
            <w:tcW w:w="834" w:type="pct"/>
            <w:gridSpan w:val="2"/>
            <w:tcBorders>
              <w:top w:val="single" w:sz="4" w:space="0" w:color="auto"/>
              <w:left w:val="single" w:sz="4" w:space="0" w:color="auto"/>
              <w:bottom w:val="single" w:sz="4" w:space="0" w:color="auto"/>
              <w:right w:val="single" w:sz="4" w:space="0" w:color="auto"/>
            </w:tcBorders>
            <w:hideMark/>
          </w:tcPr>
          <w:p w14:paraId="1A210C10"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A-1+</w:t>
            </w:r>
          </w:p>
        </w:tc>
      </w:tr>
      <w:tr w:rsidR="0041570C" w14:paraId="124BD318" w14:textId="77777777" w:rsidTr="0041570C">
        <w:trPr>
          <w:gridAfter w:val="1"/>
          <w:wAfter w:w="16" w:type="dxa"/>
          <w:trHeight w:val="397"/>
        </w:trPr>
        <w:tc>
          <w:tcPr>
            <w:tcW w:w="831" w:type="pct"/>
            <w:tcBorders>
              <w:top w:val="single" w:sz="4" w:space="0" w:color="auto"/>
              <w:left w:val="single" w:sz="4" w:space="0" w:color="auto"/>
              <w:bottom w:val="single" w:sz="4" w:space="0" w:color="auto"/>
              <w:right w:val="single" w:sz="4" w:space="0" w:color="auto"/>
            </w:tcBorders>
            <w:hideMark/>
          </w:tcPr>
          <w:p w14:paraId="0B74656B"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AA-</w:t>
            </w:r>
          </w:p>
        </w:tc>
        <w:tc>
          <w:tcPr>
            <w:tcW w:w="832" w:type="pct"/>
            <w:tcBorders>
              <w:top w:val="single" w:sz="4" w:space="0" w:color="auto"/>
              <w:left w:val="single" w:sz="4" w:space="0" w:color="auto"/>
              <w:bottom w:val="single" w:sz="4" w:space="0" w:color="auto"/>
              <w:right w:val="single" w:sz="4" w:space="0" w:color="auto"/>
            </w:tcBorders>
            <w:hideMark/>
          </w:tcPr>
          <w:p w14:paraId="0B63827B"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Aa3</w:t>
            </w:r>
          </w:p>
        </w:tc>
        <w:tc>
          <w:tcPr>
            <w:tcW w:w="831" w:type="pct"/>
            <w:gridSpan w:val="2"/>
            <w:tcBorders>
              <w:top w:val="single" w:sz="4" w:space="0" w:color="auto"/>
              <w:left w:val="single" w:sz="4" w:space="0" w:color="auto"/>
              <w:bottom w:val="single" w:sz="4" w:space="0" w:color="auto"/>
              <w:right w:val="single" w:sz="4" w:space="0" w:color="auto"/>
            </w:tcBorders>
            <w:hideMark/>
          </w:tcPr>
          <w:p w14:paraId="0391680A"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AA-</w:t>
            </w:r>
          </w:p>
        </w:tc>
        <w:tc>
          <w:tcPr>
            <w:tcW w:w="831" w:type="pct"/>
            <w:tcBorders>
              <w:top w:val="single" w:sz="4" w:space="0" w:color="auto"/>
              <w:left w:val="single" w:sz="4" w:space="0" w:color="auto"/>
              <w:bottom w:val="single" w:sz="4" w:space="0" w:color="auto"/>
              <w:right w:val="single" w:sz="4" w:space="0" w:color="auto"/>
            </w:tcBorders>
          </w:tcPr>
          <w:p w14:paraId="7C50FE11" w14:textId="77777777" w:rsidR="0041570C" w:rsidRDefault="0041570C">
            <w:pPr>
              <w:pStyle w:val="NormalSm"/>
              <w:keepNext/>
              <w:keepLines/>
              <w:spacing w:before="120" w:after="120" w:line="240" w:lineRule="auto"/>
              <w:rPr>
                <w:rFonts w:ascii="Arial" w:hAnsi="Arial" w:cs="Arial"/>
                <w:bCs/>
                <w:lang w:eastAsia="en-US"/>
              </w:rPr>
            </w:pPr>
          </w:p>
        </w:tc>
        <w:tc>
          <w:tcPr>
            <w:tcW w:w="832" w:type="pct"/>
            <w:gridSpan w:val="2"/>
            <w:tcBorders>
              <w:top w:val="single" w:sz="4" w:space="0" w:color="auto"/>
              <w:left w:val="single" w:sz="4" w:space="0" w:color="auto"/>
              <w:bottom w:val="single" w:sz="4" w:space="0" w:color="auto"/>
              <w:right w:val="single" w:sz="4" w:space="0" w:color="auto"/>
            </w:tcBorders>
          </w:tcPr>
          <w:p w14:paraId="4A2FBDBC" w14:textId="77777777" w:rsidR="0041570C" w:rsidRDefault="0041570C">
            <w:pPr>
              <w:pStyle w:val="NormalSm"/>
              <w:keepNext/>
              <w:keepLines/>
              <w:spacing w:before="120" w:after="120" w:line="240" w:lineRule="auto"/>
              <w:rPr>
                <w:rFonts w:ascii="Arial" w:hAnsi="Arial" w:cs="Arial"/>
                <w:bCs/>
                <w:lang w:eastAsia="en-US"/>
              </w:rPr>
            </w:pPr>
          </w:p>
        </w:tc>
        <w:tc>
          <w:tcPr>
            <w:tcW w:w="834" w:type="pct"/>
            <w:gridSpan w:val="2"/>
            <w:tcBorders>
              <w:top w:val="single" w:sz="4" w:space="0" w:color="auto"/>
              <w:left w:val="single" w:sz="4" w:space="0" w:color="auto"/>
              <w:bottom w:val="single" w:sz="4" w:space="0" w:color="auto"/>
              <w:right w:val="single" w:sz="4" w:space="0" w:color="auto"/>
            </w:tcBorders>
          </w:tcPr>
          <w:p w14:paraId="248EB894" w14:textId="77777777" w:rsidR="0041570C" w:rsidRDefault="0041570C">
            <w:pPr>
              <w:pStyle w:val="NormalSm"/>
              <w:keepNext/>
              <w:keepLines/>
              <w:spacing w:before="120" w:after="120" w:line="240" w:lineRule="auto"/>
              <w:rPr>
                <w:rFonts w:ascii="Arial" w:hAnsi="Arial" w:cs="Arial"/>
                <w:bCs/>
                <w:lang w:eastAsia="en-US"/>
              </w:rPr>
            </w:pPr>
          </w:p>
        </w:tc>
      </w:tr>
      <w:tr w:rsidR="0041570C" w14:paraId="61F4BA36" w14:textId="77777777" w:rsidTr="0041570C">
        <w:trPr>
          <w:gridAfter w:val="1"/>
          <w:wAfter w:w="16" w:type="dxa"/>
          <w:trHeight w:val="397"/>
        </w:trPr>
        <w:tc>
          <w:tcPr>
            <w:tcW w:w="831" w:type="pct"/>
            <w:tcBorders>
              <w:top w:val="single" w:sz="4" w:space="0" w:color="auto"/>
              <w:left w:val="single" w:sz="4" w:space="0" w:color="auto"/>
              <w:bottom w:val="single" w:sz="4" w:space="0" w:color="auto"/>
              <w:right w:val="single" w:sz="4" w:space="0" w:color="auto"/>
            </w:tcBorders>
            <w:hideMark/>
          </w:tcPr>
          <w:p w14:paraId="01EE0495"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A+</w:t>
            </w:r>
          </w:p>
        </w:tc>
        <w:tc>
          <w:tcPr>
            <w:tcW w:w="832" w:type="pct"/>
            <w:tcBorders>
              <w:top w:val="single" w:sz="4" w:space="0" w:color="auto"/>
              <w:left w:val="single" w:sz="4" w:space="0" w:color="auto"/>
              <w:bottom w:val="single" w:sz="4" w:space="0" w:color="auto"/>
              <w:right w:val="single" w:sz="4" w:space="0" w:color="auto"/>
            </w:tcBorders>
            <w:hideMark/>
          </w:tcPr>
          <w:p w14:paraId="233278D6"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A1</w:t>
            </w:r>
          </w:p>
        </w:tc>
        <w:tc>
          <w:tcPr>
            <w:tcW w:w="831" w:type="pct"/>
            <w:gridSpan w:val="2"/>
            <w:tcBorders>
              <w:top w:val="single" w:sz="4" w:space="0" w:color="auto"/>
              <w:left w:val="single" w:sz="4" w:space="0" w:color="auto"/>
              <w:bottom w:val="single" w:sz="4" w:space="0" w:color="auto"/>
              <w:right w:val="single" w:sz="4" w:space="0" w:color="auto"/>
            </w:tcBorders>
            <w:hideMark/>
          </w:tcPr>
          <w:p w14:paraId="62525FC4"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A+</w:t>
            </w:r>
          </w:p>
        </w:tc>
        <w:tc>
          <w:tcPr>
            <w:tcW w:w="831" w:type="pct"/>
            <w:tcBorders>
              <w:top w:val="single" w:sz="4" w:space="0" w:color="auto"/>
              <w:left w:val="single" w:sz="4" w:space="0" w:color="auto"/>
              <w:bottom w:val="single" w:sz="4" w:space="0" w:color="auto"/>
              <w:right w:val="single" w:sz="4" w:space="0" w:color="auto"/>
            </w:tcBorders>
          </w:tcPr>
          <w:p w14:paraId="0D30D1A0" w14:textId="77777777" w:rsidR="0041570C" w:rsidRDefault="0041570C">
            <w:pPr>
              <w:pStyle w:val="NormalSm"/>
              <w:keepNext/>
              <w:keepLines/>
              <w:spacing w:before="120" w:after="120" w:line="240" w:lineRule="auto"/>
              <w:rPr>
                <w:rFonts w:ascii="Arial" w:hAnsi="Arial" w:cs="Arial"/>
                <w:bCs/>
                <w:lang w:eastAsia="en-US"/>
              </w:rPr>
            </w:pPr>
          </w:p>
        </w:tc>
        <w:tc>
          <w:tcPr>
            <w:tcW w:w="832" w:type="pct"/>
            <w:gridSpan w:val="2"/>
            <w:tcBorders>
              <w:top w:val="single" w:sz="4" w:space="0" w:color="auto"/>
              <w:left w:val="single" w:sz="4" w:space="0" w:color="auto"/>
              <w:bottom w:val="single" w:sz="4" w:space="0" w:color="auto"/>
              <w:right w:val="single" w:sz="4" w:space="0" w:color="auto"/>
            </w:tcBorders>
          </w:tcPr>
          <w:p w14:paraId="24E69E6D" w14:textId="77777777" w:rsidR="0041570C" w:rsidRDefault="0041570C">
            <w:pPr>
              <w:pStyle w:val="NormalSm"/>
              <w:keepNext/>
              <w:keepLines/>
              <w:spacing w:before="120" w:after="120" w:line="240" w:lineRule="auto"/>
              <w:rPr>
                <w:rFonts w:ascii="Arial" w:hAnsi="Arial" w:cs="Arial"/>
                <w:bCs/>
                <w:lang w:eastAsia="en-US"/>
              </w:rPr>
            </w:pPr>
          </w:p>
        </w:tc>
        <w:tc>
          <w:tcPr>
            <w:tcW w:w="834" w:type="pct"/>
            <w:gridSpan w:val="2"/>
            <w:tcBorders>
              <w:top w:val="single" w:sz="4" w:space="0" w:color="auto"/>
              <w:left w:val="single" w:sz="4" w:space="0" w:color="auto"/>
              <w:bottom w:val="single" w:sz="4" w:space="0" w:color="auto"/>
              <w:right w:val="single" w:sz="4" w:space="0" w:color="auto"/>
            </w:tcBorders>
          </w:tcPr>
          <w:p w14:paraId="3E587106" w14:textId="77777777" w:rsidR="0041570C" w:rsidRDefault="0041570C">
            <w:pPr>
              <w:pStyle w:val="NormalSm"/>
              <w:keepNext/>
              <w:keepLines/>
              <w:spacing w:before="120" w:after="120" w:line="240" w:lineRule="auto"/>
              <w:rPr>
                <w:rFonts w:ascii="Arial" w:hAnsi="Arial" w:cs="Arial"/>
                <w:bCs/>
                <w:lang w:eastAsia="en-US"/>
              </w:rPr>
            </w:pPr>
          </w:p>
        </w:tc>
      </w:tr>
      <w:tr w:rsidR="0041570C" w14:paraId="16FDB837" w14:textId="77777777" w:rsidTr="0041570C">
        <w:trPr>
          <w:gridAfter w:val="1"/>
          <w:wAfter w:w="16" w:type="dxa"/>
          <w:trHeight w:val="397"/>
        </w:trPr>
        <w:tc>
          <w:tcPr>
            <w:tcW w:w="831" w:type="pct"/>
            <w:tcBorders>
              <w:top w:val="single" w:sz="4" w:space="0" w:color="auto"/>
              <w:left w:val="single" w:sz="4" w:space="0" w:color="auto"/>
              <w:bottom w:val="single" w:sz="4" w:space="0" w:color="auto"/>
              <w:right w:val="single" w:sz="4" w:space="0" w:color="auto"/>
            </w:tcBorders>
            <w:hideMark/>
          </w:tcPr>
          <w:p w14:paraId="04988AF4"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A</w:t>
            </w:r>
          </w:p>
        </w:tc>
        <w:tc>
          <w:tcPr>
            <w:tcW w:w="832" w:type="pct"/>
            <w:tcBorders>
              <w:top w:val="single" w:sz="4" w:space="0" w:color="auto"/>
              <w:left w:val="single" w:sz="4" w:space="0" w:color="auto"/>
              <w:bottom w:val="single" w:sz="4" w:space="0" w:color="auto"/>
              <w:right w:val="single" w:sz="4" w:space="0" w:color="auto"/>
            </w:tcBorders>
            <w:hideMark/>
          </w:tcPr>
          <w:p w14:paraId="6B17643E"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A2</w:t>
            </w:r>
          </w:p>
        </w:tc>
        <w:tc>
          <w:tcPr>
            <w:tcW w:w="831" w:type="pct"/>
            <w:gridSpan w:val="2"/>
            <w:tcBorders>
              <w:top w:val="single" w:sz="4" w:space="0" w:color="auto"/>
              <w:left w:val="single" w:sz="4" w:space="0" w:color="auto"/>
              <w:bottom w:val="single" w:sz="4" w:space="0" w:color="auto"/>
              <w:right w:val="single" w:sz="4" w:space="0" w:color="auto"/>
            </w:tcBorders>
            <w:hideMark/>
          </w:tcPr>
          <w:p w14:paraId="7B6D81CD"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A</w:t>
            </w:r>
          </w:p>
        </w:tc>
        <w:tc>
          <w:tcPr>
            <w:tcW w:w="831" w:type="pct"/>
            <w:tcBorders>
              <w:top w:val="single" w:sz="4" w:space="0" w:color="auto"/>
              <w:left w:val="single" w:sz="4" w:space="0" w:color="auto"/>
              <w:bottom w:val="single" w:sz="4" w:space="0" w:color="auto"/>
              <w:right w:val="single" w:sz="4" w:space="0" w:color="auto"/>
            </w:tcBorders>
            <w:hideMark/>
          </w:tcPr>
          <w:p w14:paraId="3319893D"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F1</w:t>
            </w:r>
          </w:p>
        </w:tc>
        <w:tc>
          <w:tcPr>
            <w:tcW w:w="832" w:type="pct"/>
            <w:gridSpan w:val="2"/>
            <w:tcBorders>
              <w:top w:val="single" w:sz="4" w:space="0" w:color="auto"/>
              <w:left w:val="single" w:sz="4" w:space="0" w:color="auto"/>
              <w:bottom w:val="single" w:sz="4" w:space="0" w:color="auto"/>
              <w:right w:val="single" w:sz="4" w:space="0" w:color="auto"/>
            </w:tcBorders>
            <w:hideMark/>
          </w:tcPr>
          <w:p w14:paraId="75B2B50F"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P-1</w:t>
            </w:r>
          </w:p>
        </w:tc>
        <w:tc>
          <w:tcPr>
            <w:tcW w:w="834" w:type="pct"/>
            <w:gridSpan w:val="2"/>
            <w:tcBorders>
              <w:top w:val="single" w:sz="4" w:space="0" w:color="auto"/>
              <w:left w:val="single" w:sz="4" w:space="0" w:color="auto"/>
              <w:bottom w:val="single" w:sz="4" w:space="0" w:color="auto"/>
              <w:right w:val="single" w:sz="4" w:space="0" w:color="auto"/>
            </w:tcBorders>
            <w:hideMark/>
          </w:tcPr>
          <w:p w14:paraId="63D900B9"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A-1</w:t>
            </w:r>
          </w:p>
        </w:tc>
      </w:tr>
      <w:tr w:rsidR="0041570C" w14:paraId="5D7CFB3F" w14:textId="77777777" w:rsidTr="0041570C">
        <w:trPr>
          <w:gridAfter w:val="1"/>
          <w:wAfter w:w="16" w:type="dxa"/>
          <w:trHeight w:val="397"/>
        </w:trPr>
        <w:tc>
          <w:tcPr>
            <w:tcW w:w="831" w:type="pct"/>
            <w:tcBorders>
              <w:top w:val="single" w:sz="4" w:space="0" w:color="auto"/>
              <w:left w:val="single" w:sz="4" w:space="0" w:color="auto"/>
              <w:bottom w:val="single" w:sz="4" w:space="0" w:color="auto"/>
              <w:right w:val="single" w:sz="4" w:space="0" w:color="auto"/>
            </w:tcBorders>
            <w:hideMark/>
          </w:tcPr>
          <w:p w14:paraId="1E90C4E3"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A-</w:t>
            </w:r>
          </w:p>
        </w:tc>
        <w:tc>
          <w:tcPr>
            <w:tcW w:w="832" w:type="pct"/>
            <w:tcBorders>
              <w:top w:val="single" w:sz="4" w:space="0" w:color="auto"/>
              <w:left w:val="single" w:sz="4" w:space="0" w:color="auto"/>
              <w:bottom w:val="single" w:sz="4" w:space="0" w:color="auto"/>
              <w:right w:val="single" w:sz="4" w:space="0" w:color="auto"/>
            </w:tcBorders>
            <w:hideMark/>
          </w:tcPr>
          <w:p w14:paraId="32DE0711"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A3</w:t>
            </w:r>
          </w:p>
        </w:tc>
        <w:tc>
          <w:tcPr>
            <w:tcW w:w="831" w:type="pct"/>
            <w:gridSpan w:val="2"/>
            <w:tcBorders>
              <w:top w:val="single" w:sz="4" w:space="0" w:color="auto"/>
              <w:left w:val="single" w:sz="4" w:space="0" w:color="auto"/>
              <w:bottom w:val="single" w:sz="4" w:space="0" w:color="auto"/>
              <w:right w:val="single" w:sz="4" w:space="0" w:color="auto"/>
            </w:tcBorders>
            <w:hideMark/>
          </w:tcPr>
          <w:p w14:paraId="0AC1DF69"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A-</w:t>
            </w:r>
          </w:p>
        </w:tc>
        <w:tc>
          <w:tcPr>
            <w:tcW w:w="831" w:type="pct"/>
            <w:tcBorders>
              <w:top w:val="single" w:sz="4" w:space="0" w:color="auto"/>
              <w:left w:val="single" w:sz="4" w:space="0" w:color="auto"/>
              <w:bottom w:val="single" w:sz="4" w:space="0" w:color="auto"/>
              <w:right w:val="single" w:sz="4" w:space="0" w:color="auto"/>
            </w:tcBorders>
          </w:tcPr>
          <w:p w14:paraId="4AA47684" w14:textId="77777777" w:rsidR="0041570C" w:rsidRDefault="0041570C">
            <w:pPr>
              <w:pStyle w:val="NormalSm"/>
              <w:keepNext/>
              <w:keepLines/>
              <w:spacing w:before="120" w:after="120" w:line="240" w:lineRule="auto"/>
              <w:rPr>
                <w:rFonts w:ascii="Arial" w:hAnsi="Arial" w:cs="Arial"/>
                <w:bCs/>
                <w:lang w:eastAsia="en-US"/>
              </w:rPr>
            </w:pPr>
          </w:p>
        </w:tc>
        <w:tc>
          <w:tcPr>
            <w:tcW w:w="832" w:type="pct"/>
            <w:gridSpan w:val="2"/>
            <w:tcBorders>
              <w:top w:val="single" w:sz="4" w:space="0" w:color="auto"/>
              <w:left w:val="single" w:sz="4" w:space="0" w:color="auto"/>
              <w:bottom w:val="single" w:sz="4" w:space="0" w:color="auto"/>
              <w:right w:val="single" w:sz="4" w:space="0" w:color="auto"/>
            </w:tcBorders>
          </w:tcPr>
          <w:p w14:paraId="226388B6" w14:textId="77777777" w:rsidR="0041570C" w:rsidRDefault="0041570C">
            <w:pPr>
              <w:pStyle w:val="NormalSm"/>
              <w:keepNext/>
              <w:keepLines/>
              <w:spacing w:before="120" w:after="120" w:line="240" w:lineRule="auto"/>
              <w:rPr>
                <w:rFonts w:ascii="Arial" w:hAnsi="Arial" w:cs="Arial"/>
                <w:bCs/>
                <w:lang w:eastAsia="en-US"/>
              </w:rPr>
            </w:pPr>
          </w:p>
        </w:tc>
        <w:tc>
          <w:tcPr>
            <w:tcW w:w="834" w:type="pct"/>
            <w:gridSpan w:val="2"/>
            <w:tcBorders>
              <w:top w:val="single" w:sz="4" w:space="0" w:color="auto"/>
              <w:left w:val="single" w:sz="4" w:space="0" w:color="auto"/>
              <w:bottom w:val="single" w:sz="4" w:space="0" w:color="auto"/>
              <w:right w:val="single" w:sz="4" w:space="0" w:color="auto"/>
            </w:tcBorders>
          </w:tcPr>
          <w:p w14:paraId="5F807107" w14:textId="77777777" w:rsidR="0041570C" w:rsidRDefault="0041570C">
            <w:pPr>
              <w:pStyle w:val="NormalSm"/>
              <w:keepNext/>
              <w:keepLines/>
              <w:spacing w:before="120" w:after="120" w:line="240" w:lineRule="auto"/>
              <w:rPr>
                <w:rFonts w:ascii="Arial" w:hAnsi="Arial" w:cs="Arial"/>
                <w:bCs/>
                <w:lang w:eastAsia="en-US"/>
              </w:rPr>
            </w:pPr>
          </w:p>
        </w:tc>
      </w:tr>
      <w:tr w:rsidR="0041570C" w14:paraId="40B94F5F" w14:textId="77777777" w:rsidTr="0041570C">
        <w:trPr>
          <w:gridAfter w:val="1"/>
          <w:wAfter w:w="16" w:type="dxa"/>
          <w:trHeight w:val="397"/>
        </w:trPr>
        <w:tc>
          <w:tcPr>
            <w:tcW w:w="831" w:type="pct"/>
            <w:tcBorders>
              <w:top w:val="single" w:sz="4" w:space="0" w:color="auto"/>
              <w:left w:val="single" w:sz="4" w:space="0" w:color="auto"/>
              <w:bottom w:val="single" w:sz="4" w:space="0" w:color="auto"/>
              <w:right w:val="single" w:sz="4" w:space="0" w:color="auto"/>
            </w:tcBorders>
            <w:hideMark/>
          </w:tcPr>
          <w:p w14:paraId="1EBF9AB2"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BBB+</w:t>
            </w:r>
          </w:p>
        </w:tc>
        <w:tc>
          <w:tcPr>
            <w:tcW w:w="832" w:type="pct"/>
            <w:tcBorders>
              <w:top w:val="single" w:sz="4" w:space="0" w:color="auto"/>
              <w:left w:val="single" w:sz="4" w:space="0" w:color="auto"/>
              <w:bottom w:val="single" w:sz="4" w:space="0" w:color="auto"/>
              <w:right w:val="single" w:sz="4" w:space="0" w:color="auto"/>
            </w:tcBorders>
            <w:hideMark/>
          </w:tcPr>
          <w:p w14:paraId="379E6D57"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Baa1</w:t>
            </w:r>
          </w:p>
        </w:tc>
        <w:tc>
          <w:tcPr>
            <w:tcW w:w="831" w:type="pct"/>
            <w:gridSpan w:val="2"/>
            <w:tcBorders>
              <w:top w:val="single" w:sz="4" w:space="0" w:color="auto"/>
              <w:left w:val="single" w:sz="4" w:space="0" w:color="auto"/>
              <w:bottom w:val="single" w:sz="4" w:space="0" w:color="auto"/>
              <w:right w:val="single" w:sz="4" w:space="0" w:color="auto"/>
            </w:tcBorders>
            <w:hideMark/>
          </w:tcPr>
          <w:p w14:paraId="53D571CE"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BBB+</w:t>
            </w:r>
          </w:p>
        </w:tc>
        <w:tc>
          <w:tcPr>
            <w:tcW w:w="831" w:type="pct"/>
            <w:tcBorders>
              <w:top w:val="single" w:sz="4" w:space="0" w:color="auto"/>
              <w:left w:val="single" w:sz="4" w:space="0" w:color="auto"/>
              <w:bottom w:val="single" w:sz="4" w:space="0" w:color="auto"/>
              <w:right w:val="single" w:sz="4" w:space="0" w:color="auto"/>
            </w:tcBorders>
          </w:tcPr>
          <w:p w14:paraId="3E7BC573" w14:textId="77777777" w:rsidR="0041570C" w:rsidRDefault="0041570C">
            <w:pPr>
              <w:pStyle w:val="NormalSm"/>
              <w:keepNext/>
              <w:keepLines/>
              <w:spacing w:before="120" w:after="120" w:line="240" w:lineRule="auto"/>
              <w:rPr>
                <w:rFonts w:ascii="Arial" w:hAnsi="Arial" w:cs="Arial"/>
                <w:bCs/>
                <w:lang w:eastAsia="en-US"/>
              </w:rPr>
            </w:pPr>
          </w:p>
        </w:tc>
        <w:tc>
          <w:tcPr>
            <w:tcW w:w="832" w:type="pct"/>
            <w:gridSpan w:val="2"/>
            <w:tcBorders>
              <w:top w:val="single" w:sz="4" w:space="0" w:color="auto"/>
              <w:left w:val="single" w:sz="4" w:space="0" w:color="auto"/>
              <w:bottom w:val="single" w:sz="4" w:space="0" w:color="auto"/>
              <w:right w:val="single" w:sz="4" w:space="0" w:color="auto"/>
            </w:tcBorders>
          </w:tcPr>
          <w:p w14:paraId="2D52AFE9" w14:textId="77777777" w:rsidR="0041570C" w:rsidRDefault="0041570C">
            <w:pPr>
              <w:pStyle w:val="NormalSm"/>
              <w:keepNext/>
              <w:keepLines/>
              <w:spacing w:before="120" w:after="120" w:line="240" w:lineRule="auto"/>
              <w:rPr>
                <w:rFonts w:ascii="Arial" w:hAnsi="Arial" w:cs="Arial"/>
                <w:bCs/>
                <w:lang w:eastAsia="en-US"/>
              </w:rPr>
            </w:pPr>
          </w:p>
        </w:tc>
        <w:tc>
          <w:tcPr>
            <w:tcW w:w="834" w:type="pct"/>
            <w:gridSpan w:val="2"/>
            <w:tcBorders>
              <w:top w:val="single" w:sz="4" w:space="0" w:color="auto"/>
              <w:left w:val="single" w:sz="4" w:space="0" w:color="auto"/>
              <w:bottom w:val="single" w:sz="4" w:space="0" w:color="auto"/>
              <w:right w:val="single" w:sz="4" w:space="0" w:color="auto"/>
            </w:tcBorders>
          </w:tcPr>
          <w:p w14:paraId="58333D08" w14:textId="77777777" w:rsidR="0041570C" w:rsidRDefault="0041570C">
            <w:pPr>
              <w:pStyle w:val="NormalSm"/>
              <w:keepNext/>
              <w:keepLines/>
              <w:spacing w:before="120" w:after="120" w:line="240" w:lineRule="auto"/>
              <w:rPr>
                <w:rFonts w:ascii="Arial" w:hAnsi="Arial" w:cs="Arial"/>
                <w:bCs/>
                <w:lang w:eastAsia="en-US"/>
              </w:rPr>
            </w:pPr>
          </w:p>
        </w:tc>
      </w:tr>
      <w:tr w:rsidR="0041570C" w14:paraId="7C6EF4AA" w14:textId="77777777" w:rsidTr="0041570C">
        <w:trPr>
          <w:gridAfter w:val="1"/>
          <w:wAfter w:w="16" w:type="dxa"/>
          <w:trHeight w:val="397"/>
        </w:trPr>
        <w:tc>
          <w:tcPr>
            <w:tcW w:w="831" w:type="pct"/>
            <w:tcBorders>
              <w:top w:val="single" w:sz="4" w:space="0" w:color="auto"/>
              <w:left w:val="single" w:sz="4" w:space="0" w:color="auto"/>
              <w:bottom w:val="single" w:sz="4" w:space="0" w:color="auto"/>
              <w:right w:val="single" w:sz="4" w:space="0" w:color="auto"/>
            </w:tcBorders>
            <w:hideMark/>
          </w:tcPr>
          <w:p w14:paraId="2026C5D5"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BBB</w:t>
            </w:r>
          </w:p>
        </w:tc>
        <w:tc>
          <w:tcPr>
            <w:tcW w:w="832" w:type="pct"/>
            <w:tcBorders>
              <w:top w:val="single" w:sz="4" w:space="0" w:color="auto"/>
              <w:left w:val="single" w:sz="4" w:space="0" w:color="auto"/>
              <w:bottom w:val="single" w:sz="4" w:space="0" w:color="auto"/>
              <w:right w:val="single" w:sz="4" w:space="0" w:color="auto"/>
            </w:tcBorders>
            <w:hideMark/>
          </w:tcPr>
          <w:p w14:paraId="0A803973"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Baa2</w:t>
            </w:r>
          </w:p>
        </w:tc>
        <w:tc>
          <w:tcPr>
            <w:tcW w:w="831" w:type="pct"/>
            <w:gridSpan w:val="2"/>
            <w:tcBorders>
              <w:top w:val="single" w:sz="4" w:space="0" w:color="auto"/>
              <w:left w:val="single" w:sz="4" w:space="0" w:color="auto"/>
              <w:bottom w:val="single" w:sz="4" w:space="0" w:color="auto"/>
              <w:right w:val="single" w:sz="4" w:space="0" w:color="auto"/>
            </w:tcBorders>
            <w:hideMark/>
          </w:tcPr>
          <w:p w14:paraId="7428A5AD"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BBB</w:t>
            </w:r>
          </w:p>
        </w:tc>
        <w:tc>
          <w:tcPr>
            <w:tcW w:w="831" w:type="pct"/>
            <w:tcBorders>
              <w:top w:val="single" w:sz="4" w:space="0" w:color="auto"/>
              <w:left w:val="single" w:sz="4" w:space="0" w:color="auto"/>
              <w:bottom w:val="single" w:sz="4" w:space="0" w:color="auto"/>
              <w:right w:val="single" w:sz="4" w:space="0" w:color="auto"/>
            </w:tcBorders>
            <w:hideMark/>
          </w:tcPr>
          <w:p w14:paraId="5668C0D4"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F2</w:t>
            </w:r>
          </w:p>
        </w:tc>
        <w:tc>
          <w:tcPr>
            <w:tcW w:w="832" w:type="pct"/>
            <w:gridSpan w:val="2"/>
            <w:tcBorders>
              <w:top w:val="single" w:sz="4" w:space="0" w:color="auto"/>
              <w:left w:val="single" w:sz="4" w:space="0" w:color="auto"/>
              <w:bottom w:val="single" w:sz="4" w:space="0" w:color="auto"/>
              <w:right w:val="single" w:sz="4" w:space="0" w:color="auto"/>
            </w:tcBorders>
            <w:hideMark/>
          </w:tcPr>
          <w:p w14:paraId="0BBA5CE9"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P-2</w:t>
            </w:r>
          </w:p>
        </w:tc>
        <w:tc>
          <w:tcPr>
            <w:tcW w:w="834" w:type="pct"/>
            <w:gridSpan w:val="2"/>
            <w:tcBorders>
              <w:top w:val="single" w:sz="4" w:space="0" w:color="auto"/>
              <w:left w:val="single" w:sz="4" w:space="0" w:color="auto"/>
              <w:bottom w:val="single" w:sz="4" w:space="0" w:color="auto"/>
              <w:right w:val="single" w:sz="4" w:space="0" w:color="auto"/>
            </w:tcBorders>
            <w:hideMark/>
          </w:tcPr>
          <w:p w14:paraId="078B0C99"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A-2</w:t>
            </w:r>
          </w:p>
        </w:tc>
      </w:tr>
      <w:tr w:rsidR="0041570C" w14:paraId="542FFD0C" w14:textId="77777777" w:rsidTr="0041570C">
        <w:trPr>
          <w:gridAfter w:val="2"/>
          <w:wAfter w:w="25" w:type="dxa"/>
          <w:trHeight w:val="397"/>
        </w:trPr>
        <w:tc>
          <w:tcPr>
            <w:tcW w:w="4986" w:type="pct"/>
            <w:gridSpan w:val="8"/>
            <w:tcBorders>
              <w:top w:val="single" w:sz="4" w:space="0" w:color="auto"/>
              <w:left w:val="single" w:sz="4" w:space="0" w:color="auto"/>
              <w:bottom w:val="single" w:sz="4" w:space="0" w:color="auto"/>
              <w:right w:val="single" w:sz="4" w:space="0" w:color="auto"/>
            </w:tcBorders>
            <w:hideMark/>
          </w:tcPr>
          <w:p w14:paraId="47AD089B" w14:textId="77777777" w:rsidR="0041570C" w:rsidRDefault="0041570C">
            <w:pPr>
              <w:keepNext/>
              <w:keepLines/>
              <w:spacing w:before="120" w:after="120"/>
              <w:rPr>
                <w:rFonts w:cs="Arial"/>
                <w:b/>
                <w:bCs/>
                <w:szCs w:val="24"/>
              </w:rPr>
            </w:pPr>
            <w:r>
              <w:rPr>
                <w:rFonts w:cs="Arial"/>
                <w:b/>
                <w:bCs/>
                <w:szCs w:val="24"/>
              </w:rPr>
              <w:t>Structured Finance Ratings</w:t>
            </w:r>
          </w:p>
        </w:tc>
      </w:tr>
      <w:tr w:rsidR="0041570C" w14:paraId="213E8C27" w14:textId="77777777" w:rsidTr="0041570C">
        <w:trPr>
          <w:gridAfter w:val="2"/>
          <w:wAfter w:w="25" w:type="dxa"/>
          <w:trHeight w:val="397"/>
        </w:trPr>
        <w:tc>
          <w:tcPr>
            <w:tcW w:w="1663" w:type="pct"/>
            <w:gridSpan w:val="2"/>
            <w:tcBorders>
              <w:top w:val="single" w:sz="4" w:space="0" w:color="auto"/>
              <w:left w:val="single" w:sz="4" w:space="0" w:color="auto"/>
              <w:bottom w:val="single" w:sz="4" w:space="0" w:color="auto"/>
              <w:right w:val="single" w:sz="4" w:space="0" w:color="auto"/>
            </w:tcBorders>
            <w:hideMark/>
          </w:tcPr>
          <w:p w14:paraId="500B8DED" w14:textId="77777777" w:rsidR="0041570C" w:rsidRDefault="0041570C">
            <w:pPr>
              <w:pStyle w:val="NormalSm"/>
              <w:keepNext/>
              <w:keepLines/>
              <w:spacing w:before="120" w:after="120" w:line="240" w:lineRule="auto"/>
              <w:rPr>
                <w:rFonts w:ascii="Arial" w:hAnsi="Arial" w:cs="Arial"/>
                <w:b/>
                <w:bCs/>
                <w:lang w:eastAsia="en-US"/>
              </w:rPr>
            </w:pPr>
            <w:r>
              <w:rPr>
                <w:rFonts w:ascii="Arial" w:hAnsi="Arial" w:cs="Arial"/>
                <w:b/>
                <w:bCs/>
                <w:lang w:eastAsia="en-US"/>
              </w:rPr>
              <w:t>Fitch</w:t>
            </w:r>
          </w:p>
        </w:tc>
        <w:tc>
          <w:tcPr>
            <w:tcW w:w="1662" w:type="pct"/>
            <w:gridSpan w:val="3"/>
            <w:tcBorders>
              <w:top w:val="single" w:sz="4" w:space="0" w:color="auto"/>
              <w:left w:val="single" w:sz="4" w:space="0" w:color="auto"/>
              <w:bottom w:val="single" w:sz="4" w:space="0" w:color="auto"/>
              <w:right w:val="single" w:sz="4" w:space="0" w:color="auto"/>
            </w:tcBorders>
            <w:hideMark/>
          </w:tcPr>
          <w:p w14:paraId="66508B65" w14:textId="77777777" w:rsidR="0041570C" w:rsidRDefault="0041570C">
            <w:pPr>
              <w:pStyle w:val="NormalSm"/>
              <w:keepNext/>
              <w:keepLines/>
              <w:spacing w:before="120" w:after="120" w:line="240" w:lineRule="auto"/>
              <w:rPr>
                <w:rFonts w:ascii="Arial" w:hAnsi="Arial" w:cs="Arial"/>
                <w:b/>
                <w:bCs/>
                <w:lang w:eastAsia="en-US"/>
              </w:rPr>
            </w:pPr>
            <w:r>
              <w:rPr>
                <w:rFonts w:ascii="Arial" w:hAnsi="Arial" w:cs="Arial"/>
                <w:b/>
                <w:bCs/>
                <w:lang w:eastAsia="en-US"/>
              </w:rPr>
              <w:t>Moody’s</w:t>
            </w:r>
          </w:p>
        </w:tc>
        <w:tc>
          <w:tcPr>
            <w:tcW w:w="1661" w:type="pct"/>
            <w:gridSpan w:val="3"/>
            <w:tcBorders>
              <w:top w:val="single" w:sz="4" w:space="0" w:color="auto"/>
              <w:left w:val="single" w:sz="4" w:space="0" w:color="auto"/>
              <w:bottom w:val="single" w:sz="4" w:space="0" w:color="auto"/>
              <w:right w:val="single" w:sz="4" w:space="0" w:color="auto"/>
            </w:tcBorders>
            <w:hideMark/>
          </w:tcPr>
          <w:p w14:paraId="3B009AC7" w14:textId="77777777" w:rsidR="0041570C" w:rsidRDefault="0041570C">
            <w:pPr>
              <w:pStyle w:val="NormalSm"/>
              <w:keepNext/>
              <w:keepLines/>
              <w:spacing w:before="120" w:after="120" w:line="240" w:lineRule="auto"/>
              <w:rPr>
                <w:rFonts w:ascii="Arial" w:hAnsi="Arial" w:cs="Arial"/>
                <w:b/>
                <w:bCs/>
                <w:lang w:eastAsia="en-US"/>
              </w:rPr>
            </w:pPr>
            <w:r>
              <w:rPr>
                <w:rFonts w:ascii="Arial" w:hAnsi="Arial" w:cs="Arial"/>
                <w:b/>
                <w:bCs/>
                <w:lang w:eastAsia="en-US"/>
              </w:rPr>
              <w:t>S&amp;P</w:t>
            </w:r>
          </w:p>
        </w:tc>
      </w:tr>
      <w:tr w:rsidR="0041570C" w14:paraId="448C0DD8" w14:textId="77777777" w:rsidTr="0041570C">
        <w:trPr>
          <w:gridAfter w:val="2"/>
          <w:wAfter w:w="25" w:type="dxa"/>
          <w:trHeight w:val="397"/>
        </w:trPr>
        <w:tc>
          <w:tcPr>
            <w:tcW w:w="1663" w:type="pct"/>
            <w:gridSpan w:val="2"/>
            <w:tcBorders>
              <w:top w:val="single" w:sz="4" w:space="0" w:color="auto"/>
              <w:left w:val="single" w:sz="4" w:space="0" w:color="auto"/>
              <w:bottom w:val="single" w:sz="4" w:space="0" w:color="auto"/>
              <w:right w:val="single" w:sz="4" w:space="0" w:color="auto"/>
            </w:tcBorders>
            <w:hideMark/>
          </w:tcPr>
          <w:p w14:paraId="77936F0F" w14:textId="77777777" w:rsidR="0041570C" w:rsidRDefault="0041570C">
            <w:pPr>
              <w:pStyle w:val="NormalSm"/>
              <w:keepNext/>
              <w:keepLines/>
              <w:spacing w:before="120" w:after="120" w:line="240" w:lineRule="auto"/>
              <w:rPr>
                <w:rFonts w:ascii="Arial" w:hAnsi="Arial" w:cs="Arial"/>
                <w:bCs/>
                <w:vertAlign w:val="subscript"/>
                <w:lang w:eastAsia="en-US"/>
              </w:rPr>
            </w:pPr>
            <w:r>
              <w:rPr>
                <w:rFonts w:ascii="Arial" w:hAnsi="Arial" w:cs="Arial"/>
                <w:bCs/>
                <w:lang w:eastAsia="en-US"/>
              </w:rPr>
              <w:t>AAA</w:t>
            </w:r>
            <w:r>
              <w:rPr>
                <w:rFonts w:ascii="Arial" w:hAnsi="Arial" w:cs="Arial"/>
                <w:bCs/>
                <w:vertAlign w:val="subscript"/>
                <w:lang w:eastAsia="en-US"/>
              </w:rPr>
              <w:t>sf</w:t>
            </w:r>
          </w:p>
        </w:tc>
        <w:tc>
          <w:tcPr>
            <w:tcW w:w="1662" w:type="pct"/>
            <w:gridSpan w:val="3"/>
            <w:tcBorders>
              <w:top w:val="single" w:sz="4" w:space="0" w:color="auto"/>
              <w:left w:val="single" w:sz="4" w:space="0" w:color="auto"/>
              <w:bottom w:val="single" w:sz="4" w:space="0" w:color="auto"/>
              <w:right w:val="single" w:sz="4" w:space="0" w:color="auto"/>
            </w:tcBorders>
            <w:hideMark/>
          </w:tcPr>
          <w:p w14:paraId="6E1889CF"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Aaa (sf)</w:t>
            </w:r>
          </w:p>
        </w:tc>
        <w:tc>
          <w:tcPr>
            <w:tcW w:w="1661" w:type="pct"/>
            <w:gridSpan w:val="3"/>
            <w:tcBorders>
              <w:top w:val="single" w:sz="4" w:space="0" w:color="auto"/>
              <w:left w:val="single" w:sz="4" w:space="0" w:color="auto"/>
              <w:bottom w:val="single" w:sz="4" w:space="0" w:color="auto"/>
              <w:right w:val="single" w:sz="4" w:space="0" w:color="auto"/>
            </w:tcBorders>
            <w:hideMark/>
          </w:tcPr>
          <w:p w14:paraId="3E6BB1AD"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AAA (sf)</w:t>
            </w:r>
          </w:p>
        </w:tc>
      </w:tr>
      <w:tr w:rsidR="0041570C" w14:paraId="3B9A929B" w14:textId="77777777" w:rsidTr="0041570C">
        <w:trPr>
          <w:gridAfter w:val="2"/>
          <w:wAfter w:w="25" w:type="dxa"/>
          <w:trHeight w:val="397"/>
        </w:trPr>
        <w:tc>
          <w:tcPr>
            <w:tcW w:w="1663" w:type="pct"/>
            <w:gridSpan w:val="2"/>
            <w:tcBorders>
              <w:top w:val="single" w:sz="4" w:space="0" w:color="auto"/>
              <w:left w:val="single" w:sz="4" w:space="0" w:color="auto"/>
              <w:bottom w:val="single" w:sz="4" w:space="0" w:color="auto"/>
              <w:right w:val="single" w:sz="4" w:space="0" w:color="auto"/>
            </w:tcBorders>
            <w:hideMark/>
          </w:tcPr>
          <w:p w14:paraId="4BFBE2B2" w14:textId="77777777" w:rsidR="0041570C" w:rsidRDefault="0041570C">
            <w:pPr>
              <w:pStyle w:val="NormalSm"/>
              <w:keepNext/>
              <w:keepLines/>
              <w:spacing w:before="120" w:after="120" w:line="240" w:lineRule="auto"/>
              <w:rPr>
                <w:rFonts w:ascii="Arial" w:hAnsi="Arial" w:cs="Arial"/>
                <w:bCs/>
                <w:vertAlign w:val="subscript"/>
                <w:lang w:eastAsia="en-US"/>
              </w:rPr>
            </w:pPr>
            <w:r>
              <w:rPr>
                <w:rFonts w:ascii="Arial" w:hAnsi="Arial" w:cs="Arial"/>
                <w:bCs/>
                <w:lang w:eastAsia="en-US"/>
              </w:rPr>
              <w:t>AA+</w:t>
            </w:r>
            <w:r>
              <w:rPr>
                <w:rFonts w:ascii="Arial" w:hAnsi="Arial" w:cs="Arial"/>
                <w:bCs/>
                <w:vertAlign w:val="subscript"/>
                <w:lang w:eastAsia="en-US"/>
              </w:rPr>
              <w:t>sf</w:t>
            </w:r>
          </w:p>
        </w:tc>
        <w:tc>
          <w:tcPr>
            <w:tcW w:w="1662" w:type="pct"/>
            <w:gridSpan w:val="3"/>
            <w:tcBorders>
              <w:top w:val="single" w:sz="4" w:space="0" w:color="auto"/>
              <w:left w:val="single" w:sz="4" w:space="0" w:color="auto"/>
              <w:bottom w:val="single" w:sz="4" w:space="0" w:color="auto"/>
              <w:right w:val="single" w:sz="4" w:space="0" w:color="auto"/>
            </w:tcBorders>
            <w:hideMark/>
          </w:tcPr>
          <w:p w14:paraId="1934AE98"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Aa1(sf)</w:t>
            </w:r>
          </w:p>
        </w:tc>
        <w:tc>
          <w:tcPr>
            <w:tcW w:w="1661" w:type="pct"/>
            <w:gridSpan w:val="3"/>
            <w:tcBorders>
              <w:top w:val="single" w:sz="4" w:space="0" w:color="auto"/>
              <w:left w:val="single" w:sz="4" w:space="0" w:color="auto"/>
              <w:bottom w:val="single" w:sz="4" w:space="0" w:color="auto"/>
              <w:right w:val="single" w:sz="4" w:space="0" w:color="auto"/>
            </w:tcBorders>
            <w:hideMark/>
          </w:tcPr>
          <w:p w14:paraId="151AAE3A" w14:textId="77777777" w:rsidR="0041570C" w:rsidRDefault="0041570C">
            <w:pPr>
              <w:pStyle w:val="NormalSm"/>
              <w:keepNext/>
              <w:keepLines/>
              <w:spacing w:before="120" w:after="120" w:line="240" w:lineRule="auto"/>
              <w:rPr>
                <w:rFonts w:ascii="Arial" w:hAnsi="Arial" w:cs="Arial"/>
                <w:bCs/>
                <w:lang w:eastAsia="en-US"/>
              </w:rPr>
            </w:pPr>
            <w:r>
              <w:rPr>
                <w:rFonts w:ascii="Arial" w:hAnsi="Arial" w:cs="Arial"/>
                <w:bCs/>
                <w:lang w:eastAsia="en-US"/>
              </w:rPr>
              <w:t>AA+ (sf)</w:t>
            </w:r>
          </w:p>
        </w:tc>
      </w:tr>
      <w:tr w:rsidR="0041570C" w14:paraId="279D6863" w14:textId="77777777" w:rsidTr="0041570C">
        <w:trPr>
          <w:trHeight w:val="397"/>
        </w:trPr>
        <w:tc>
          <w:tcPr>
            <w:tcW w:w="5000" w:type="pct"/>
            <w:gridSpan w:val="10"/>
            <w:tcBorders>
              <w:top w:val="single" w:sz="4" w:space="0" w:color="auto"/>
              <w:left w:val="single" w:sz="4" w:space="0" w:color="auto"/>
              <w:bottom w:val="single" w:sz="4" w:space="0" w:color="auto"/>
              <w:right w:val="single" w:sz="4" w:space="0" w:color="auto"/>
            </w:tcBorders>
            <w:hideMark/>
          </w:tcPr>
          <w:p w14:paraId="33F70C3E" w14:textId="77777777" w:rsidR="0041570C" w:rsidRDefault="0041570C">
            <w:pPr>
              <w:keepNext/>
              <w:keepLines/>
              <w:spacing w:before="120" w:after="120"/>
              <w:rPr>
                <w:rFonts w:cs="Arial"/>
                <w:bCs/>
                <w:szCs w:val="24"/>
              </w:rPr>
            </w:pPr>
            <w:r>
              <w:rPr>
                <w:rFonts w:cs="Arial"/>
                <w:b/>
                <w:bCs/>
                <w:szCs w:val="24"/>
              </w:rPr>
              <w:t>Money Market Fund Ratings</w:t>
            </w:r>
          </w:p>
        </w:tc>
      </w:tr>
      <w:tr w:rsidR="0041570C" w14:paraId="7FA24F8B" w14:textId="77777777" w:rsidTr="0041570C">
        <w:trPr>
          <w:trHeight w:val="397"/>
        </w:trPr>
        <w:tc>
          <w:tcPr>
            <w:tcW w:w="1667" w:type="pct"/>
            <w:gridSpan w:val="3"/>
            <w:tcBorders>
              <w:top w:val="single" w:sz="4" w:space="0" w:color="auto"/>
              <w:left w:val="single" w:sz="4" w:space="0" w:color="auto"/>
              <w:bottom w:val="single" w:sz="4" w:space="0" w:color="auto"/>
              <w:right w:val="single" w:sz="4" w:space="0" w:color="auto"/>
            </w:tcBorders>
            <w:hideMark/>
          </w:tcPr>
          <w:p w14:paraId="5CBA6AD7" w14:textId="77777777" w:rsidR="0041570C" w:rsidRDefault="0041570C">
            <w:pPr>
              <w:pStyle w:val="NormalSm"/>
              <w:keepNext/>
              <w:keepLines/>
              <w:spacing w:before="120" w:after="120" w:line="240" w:lineRule="auto"/>
              <w:rPr>
                <w:rFonts w:ascii="Arial" w:hAnsi="Arial" w:cs="Arial"/>
                <w:b/>
                <w:bCs/>
                <w:lang w:eastAsia="en-US"/>
              </w:rPr>
            </w:pPr>
            <w:r>
              <w:rPr>
                <w:rFonts w:ascii="Arial" w:hAnsi="Arial" w:cs="Arial"/>
                <w:b/>
                <w:bCs/>
                <w:lang w:eastAsia="en-US"/>
              </w:rPr>
              <w:t>Fitch</w:t>
            </w:r>
          </w:p>
        </w:tc>
        <w:tc>
          <w:tcPr>
            <w:tcW w:w="1666" w:type="pct"/>
            <w:gridSpan w:val="3"/>
            <w:tcBorders>
              <w:top w:val="single" w:sz="4" w:space="0" w:color="auto"/>
              <w:left w:val="single" w:sz="4" w:space="0" w:color="auto"/>
              <w:bottom w:val="single" w:sz="4" w:space="0" w:color="auto"/>
              <w:right w:val="single" w:sz="4" w:space="0" w:color="auto"/>
            </w:tcBorders>
            <w:hideMark/>
          </w:tcPr>
          <w:p w14:paraId="76A1A1E1" w14:textId="77777777" w:rsidR="0041570C" w:rsidRDefault="0041570C">
            <w:pPr>
              <w:pStyle w:val="NormalSm"/>
              <w:keepNext/>
              <w:keepLines/>
              <w:spacing w:before="120" w:after="120" w:line="240" w:lineRule="auto"/>
              <w:rPr>
                <w:rFonts w:ascii="Arial" w:hAnsi="Arial" w:cs="Arial"/>
                <w:b/>
                <w:bCs/>
                <w:lang w:eastAsia="en-US"/>
              </w:rPr>
            </w:pPr>
            <w:r>
              <w:rPr>
                <w:rFonts w:ascii="Arial" w:hAnsi="Arial" w:cs="Arial"/>
                <w:b/>
                <w:bCs/>
                <w:lang w:eastAsia="en-US"/>
              </w:rPr>
              <w:t>Moody’s</w:t>
            </w:r>
          </w:p>
        </w:tc>
        <w:tc>
          <w:tcPr>
            <w:tcW w:w="1667" w:type="pct"/>
            <w:gridSpan w:val="4"/>
            <w:tcBorders>
              <w:top w:val="single" w:sz="4" w:space="0" w:color="auto"/>
              <w:left w:val="single" w:sz="4" w:space="0" w:color="auto"/>
              <w:bottom w:val="single" w:sz="4" w:space="0" w:color="auto"/>
              <w:right w:val="single" w:sz="4" w:space="0" w:color="auto"/>
            </w:tcBorders>
            <w:hideMark/>
          </w:tcPr>
          <w:p w14:paraId="31CC2488" w14:textId="77777777" w:rsidR="0041570C" w:rsidRDefault="0041570C">
            <w:pPr>
              <w:pStyle w:val="NormalSm"/>
              <w:keepNext/>
              <w:keepLines/>
              <w:spacing w:before="120" w:after="120" w:line="240" w:lineRule="auto"/>
              <w:rPr>
                <w:rFonts w:ascii="Arial" w:hAnsi="Arial" w:cs="Arial"/>
                <w:b/>
                <w:bCs/>
                <w:lang w:eastAsia="en-US"/>
              </w:rPr>
            </w:pPr>
            <w:r>
              <w:rPr>
                <w:rFonts w:ascii="Arial" w:hAnsi="Arial" w:cs="Arial"/>
                <w:b/>
                <w:bCs/>
                <w:lang w:eastAsia="en-US"/>
              </w:rPr>
              <w:t>S&amp;P</w:t>
            </w:r>
          </w:p>
        </w:tc>
      </w:tr>
      <w:tr w:rsidR="0041570C" w14:paraId="08298B8B" w14:textId="77777777" w:rsidTr="0041570C">
        <w:trPr>
          <w:trHeight w:val="397"/>
        </w:trPr>
        <w:tc>
          <w:tcPr>
            <w:tcW w:w="1667" w:type="pct"/>
            <w:gridSpan w:val="3"/>
            <w:tcBorders>
              <w:top w:val="single" w:sz="4" w:space="0" w:color="auto"/>
              <w:left w:val="single" w:sz="4" w:space="0" w:color="auto"/>
              <w:bottom w:val="single" w:sz="4" w:space="0" w:color="auto"/>
              <w:right w:val="single" w:sz="4" w:space="0" w:color="auto"/>
            </w:tcBorders>
            <w:hideMark/>
          </w:tcPr>
          <w:p w14:paraId="10D2750B" w14:textId="77777777" w:rsidR="0041570C" w:rsidRDefault="0041570C">
            <w:pPr>
              <w:pStyle w:val="NormalSm"/>
              <w:keepNext/>
              <w:keepLines/>
              <w:spacing w:before="120" w:after="120" w:line="240" w:lineRule="auto"/>
              <w:rPr>
                <w:rFonts w:ascii="Arial" w:hAnsi="Arial" w:cs="Arial"/>
                <w:bCs/>
                <w:vertAlign w:val="subscript"/>
                <w:lang w:eastAsia="en-US"/>
              </w:rPr>
            </w:pPr>
            <w:r>
              <w:rPr>
                <w:rFonts w:ascii="Arial" w:hAnsi="Arial" w:cs="Arial"/>
                <w:bCs/>
                <w:lang w:eastAsia="en-US"/>
              </w:rPr>
              <w:t>AAA</w:t>
            </w:r>
            <w:r>
              <w:rPr>
                <w:rFonts w:ascii="Arial" w:hAnsi="Arial" w:cs="Arial"/>
                <w:bCs/>
                <w:vertAlign w:val="subscript"/>
                <w:lang w:eastAsia="en-US"/>
              </w:rPr>
              <w:t>mmf</w:t>
            </w:r>
          </w:p>
        </w:tc>
        <w:tc>
          <w:tcPr>
            <w:tcW w:w="1666" w:type="pct"/>
            <w:gridSpan w:val="3"/>
            <w:tcBorders>
              <w:top w:val="single" w:sz="4" w:space="0" w:color="auto"/>
              <w:left w:val="single" w:sz="4" w:space="0" w:color="auto"/>
              <w:bottom w:val="single" w:sz="4" w:space="0" w:color="auto"/>
              <w:right w:val="single" w:sz="4" w:space="0" w:color="auto"/>
            </w:tcBorders>
            <w:hideMark/>
          </w:tcPr>
          <w:p w14:paraId="74E0F00C" w14:textId="77777777" w:rsidR="0041570C" w:rsidRDefault="0041570C">
            <w:pPr>
              <w:pStyle w:val="NormalSm"/>
              <w:keepNext/>
              <w:keepLines/>
              <w:spacing w:before="120" w:after="120" w:line="240" w:lineRule="auto"/>
              <w:rPr>
                <w:rFonts w:ascii="Arial" w:hAnsi="Arial" w:cs="Arial"/>
                <w:lang w:eastAsia="en-US"/>
              </w:rPr>
            </w:pPr>
            <w:r>
              <w:rPr>
                <w:rFonts w:ascii="Arial" w:hAnsi="Arial" w:cs="Arial"/>
                <w:lang w:eastAsia="en-US"/>
              </w:rPr>
              <w:t>Aaa-mf</w:t>
            </w:r>
          </w:p>
        </w:tc>
        <w:tc>
          <w:tcPr>
            <w:tcW w:w="1667" w:type="pct"/>
            <w:gridSpan w:val="4"/>
            <w:tcBorders>
              <w:top w:val="single" w:sz="4" w:space="0" w:color="auto"/>
              <w:left w:val="single" w:sz="4" w:space="0" w:color="auto"/>
              <w:bottom w:val="single" w:sz="4" w:space="0" w:color="auto"/>
              <w:right w:val="single" w:sz="4" w:space="0" w:color="auto"/>
            </w:tcBorders>
            <w:hideMark/>
          </w:tcPr>
          <w:p w14:paraId="74660061" w14:textId="77777777" w:rsidR="0041570C" w:rsidRDefault="0041570C">
            <w:pPr>
              <w:pStyle w:val="NormalSm"/>
              <w:keepNext/>
              <w:keepLines/>
              <w:spacing w:before="120" w:after="120" w:line="240" w:lineRule="auto"/>
              <w:rPr>
                <w:rFonts w:ascii="Arial" w:hAnsi="Arial" w:cs="Arial"/>
                <w:lang w:eastAsia="en-US"/>
              </w:rPr>
            </w:pPr>
            <w:r>
              <w:rPr>
                <w:rFonts w:ascii="Arial" w:hAnsi="Arial" w:cs="Arial"/>
                <w:lang w:eastAsia="en-US"/>
              </w:rPr>
              <w:t>AAAm</w:t>
            </w:r>
          </w:p>
        </w:tc>
      </w:tr>
      <w:tr w:rsidR="0041570C" w14:paraId="38EF5868" w14:textId="77777777" w:rsidTr="0041570C">
        <w:trPr>
          <w:trHeight w:val="397"/>
        </w:trPr>
        <w:tc>
          <w:tcPr>
            <w:tcW w:w="5000" w:type="pct"/>
            <w:gridSpan w:val="10"/>
            <w:tcBorders>
              <w:top w:val="single" w:sz="4" w:space="0" w:color="auto"/>
              <w:left w:val="single" w:sz="4" w:space="0" w:color="auto"/>
              <w:bottom w:val="single" w:sz="4" w:space="0" w:color="auto"/>
              <w:right w:val="single" w:sz="4" w:space="0" w:color="auto"/>
            </w:tcBorders>
            <w:hideMark/>
          </w:tcPr>
          <w:p w14:paraId="3CDB022D" w14:textId="77777777" w:rsidR="0041570C" w:rsidRDefault="0041570C">
            <w:pPr>
              <w:keepNext/>
              <w:keepLines/>
              <w:spacing w:before="120" w:after="120"/>
              <w:rPr>
                <w:rFonts w:cs="Arial"/>
                <w:b/>
                <w:szCs w:val="24"/>
              </w:rPr>
            </w:pPr>
            <w:r>
              <w:rPr>
                <w:rFonts w:cs="Arial"/>
                <w:b/>
                <w:szCs w:val="24"/>
              </w:rPr>
              <w:t>Other Permitted</w:t>
            </w:r>
            <w:r>
              <w:rPr>
                <w:rFonts w:cs="Arial"/>
                <w:b/>
                <w:bCs/>
                <w:szCs w:val="24"/>
              </w:rPr>
              <w:t xml:space="preserve"> Fund Ratings</w:t>
            </w:r>
          </w:p>
        </w:tc>
      </w:tr>
      <w:tr w:rsidR="0041570C" w14:paraId="69ED8B82" w14:textId="77777777" w:rsidTr="0041570C">
        <w:trPr>
          <w:trHeight w:val="397"/>
        </w:trPr>
        <w:tc>
          <w:tcPr>
            <w:tcW w:w="1667" w:type="pct"/>
            <w:gridSpan w:val="3"/>
            <w:tcBorders>
              <w:top w:val="single" w:sz="4" w:space="0" w:color="auto"/>
              <w:left w:val="single" w:sz="4" w:space="0" w:color="auto"/>
              <w:bottom w:val="single" w:sz="4" w:space="0" w:color="auto"/>
              <w:right w:val="single" w:sz="4" w:space="0" w:color="auto"/>
            </w:tcBorders>
            <w:hideMark/>
          </w:tcPr>
          <w:p w14:paraId="511F6260" w14:textId="77777777" w:rsidR="0041570C" w:rsidRDefault="0041570C">
            <w:pPr>
              <w:pStyle w:val="NormalSm"/>
              <w:keepNext/>
              <w:keepLines/>
              <w:spacing w:before="120" w:after="120" w:line="240" w:lineRule="auto"/>
              <w:rPr>
                <w:rFonts w:ascii="Arial" w:hAnsi="Arial" w:cs="Arial"/>
                <w:b/>
                <w:bCs/>
                <w:lang w:eastAsia="en-US"/>
              </w:rPr>
            </w:pPr>
            <w:r>
              <w:rPr>
                <w:rFonts w:ascii="Arial" w:hAnsi="Arial" w:cs="Arial"/>
                <w:b/>
                <w:bCs/>
                <w:lang w:eastAsia="en-US"/>
              </w:rPr>
              <w:t>Fitch</w:t>
            </w:r>
          </w:p>
        </w:tc>
        <w:tc>
          <w:tcPr>
            <w:tcW w:w="1666" w:type="pct"/>
            <w:gridSpan w:val="3"/>
            <w:tcBorders>
              <w:top w:val="single" w:sz="4" w:space="0" w:color="auto"/>
              <w:left w:val="single" w:sz="4" w:space="0" w:color="auto"/>
              <w:bottom w:val="single" w:sz="4" w:space="0" w:color="auto"/>
              <w:right w:val="single" w:sz="4" w:space="0" w:color="auto"/>
            </w:tcBorders>
            <w:hideMark/>
          </w:tcPr>
          <w:p w14:paraId="3C0DD97D" w14:textId="77777777" w:rsidR="0041570C" w:rsidRDefault="0041570C">
            <w:pPr>
              <w:pStyle w:val="NormalSm"/>
              <w:keepNext/>
              <w:keepLines/>
              <w:spacing w:before="120" w:after="120" w:line="240" w:lineRule="auto"/>
              <w:rPr>
                <w:rFonts w:ascii="Arial" w:hAnsi="Arial" w:cs="Arial"/>
                <w:b/>
                <w:bCs/>
                <w:lang w:eastAsia="en-US"/>
              </w:rPr>
            </w:pPr>
            <w:r>
              <w:rPr>
                <w:rFonts w:ascii="Arial" w:hAnsi="Arial" w:cs="Arial"/>
                <w:b/>
                <w:bCs/>
                <w:lang w:eastAsia="en-US"/>
              </w:rPr>
              <w:t>Moody’s</w:t>
            </w:r>
          </w:p>
        </w:tc>
        <w:tc>
          <w:tcPr>
            <w:tcW w:w="1667" w:type="pct"/>
            <w:gridSpan w:val="4"/>
            <w:tcBorders>
              <w:top w:val="single" w:sz="4" w:space="0" w:color="auto"/>
              <w:left w:val="single" w:sz="4" w:space="0" w:color="auto"/>
              <w:bottom w:val="single" w:sz="4" w:space="0" w:color="auto"/>
              <w:right w:val="single" w:sz="4" w:space="0" w:color="auto"/>
            </w:tcBorders>
            <w:hideMark/>
          </w:tcPr>
          <w:p w14:paraId="7A5D575D" w14:textId="77777777" w:rsidR="0041570C" w:rsidRDefault="0041570C">
            <w:pPr>
              <w:pStyle w:val="NormalSm"/>
              <w:keepNext/>
              <w:keepLines/>
              <w:spacing w:before="120" w:after="120" w:line="240" w:lineRule="auto"/>
              <w:rPr>
                <w:rFonts w:ascii="Arial" w:hAnsi="Arial" w:cs="Arial"/>
                <w:b/>
                <w:bCs/>
                <w:lang w:eastAsia="en-US"/>
              </w:rPr>
            </w:pPr>
            <w:r>
              <w:rPr>
                <w:rFonts w:ascii="Arial" w:hAnsi="Arial" w:cs="Arial"/>
                <w:b/>
                <w:bCs/>
                <w:lang w:eastAsia="en-US"/>
              </w:rPr>
              <w:t>S&amp;P</w:t>
            </w:r>
          </w:p>
        </w:tc>
      </w:tr>
      <w:tr w:rsidR="0041570C" w14:paraId="794D163C" w14:textId="77777777" w:rsidTr="0041570C">
        <w:trPr>
          <w:trHeight w:val="397"/>
        </w:trPr>
        <w:tc>
          <w:tcPr>
            <w:tcW w:w="1667" w:type="pct"/>
            <w:gridSpan w:val="3"/>
            <w:tcBorders>
              <w:top w:val="single" w:sz="4" w:space="0" w:color="auto"/>
              <w:left w:val="single" w:sz="4" w:space="0" w:color="auto"/>
              <w:bottom w:val="single" w:sz="4" w:space="0" w:color="auto"/>
              <w:right w:val="single" w:sz="4" w:space="0" w:color="auto"/>
            </w:tcBorders>
            <w:hideMark/>
          </w:tcPr>
          <w:p w14:paraId="590DFCD3" w14:textId="77777777" w:rsidR="0041570C" w:rsidRDefault="0041570C">
            <w:pPr>
              <w:pStyle w:val="NormalSm"/>
              <w:keepNext/>
              <w:keepLines/>
              <w:spacing w:before="120" w:after="120" w:line="240" w:lineRule="auto"/>
              <w:rPr>
                <w:rFonts w:ascii="Arial" w:hAnsi="Arial" w:cs="Arial"/>
                <w:bCs/>
                <w:vertAlign w:val="subscript"/>
                <w:lang w:eastAsia="en-US"/>
              </w:rPr>
            </w:pPr>
            <w:r>
              <w:rPr>
                <w:rFonts w:ascii="Arial" w:hAnsi="Arial" w:cs="Arial"/>
                <w:bCs/>
                <w:lang w:eastAsia="en-US"/>
              </w:rPr>
              <w:t>AAA</w:t>
            </w:r>
            <w:r>
              <w:rPr>
                <w:rFonts w:ascii="Arial" w:hAnsi="Arial" w:cs="Arial"/>
                <w:bCs/>
                <w:vertAlign w:val="subscript"/>
                <w:lang w:eastAsia="en-US"/>
              </w:rPr>
              <w:t>f</w:t>
            </w:r>
          </w:p>
        </w:tc>
        <w:tc>
          <w:tcPr>
            <w:tcW w:w="1666" w:type="pct"/>
            <w:gridSpan w:val="3"/>
            <w:tcBorders>
              <w:top w:val="single" w:sz="4" w:space="0" w:color="auto"/>
              <w:left w:val="single" w:sz="4" w:space="0" w:color="auto"/>
              <w:bottom w:val="single" w:sz="4" w:space="0" w:color="auto"/>
              <w:right w:val="single" w:sz="4" w:space="0" w:color="auto"/>
            </w:tcBorders>
            <w:hideMark/>
          </w:tcPr>
          <w:p w14:paraId="08A91B80" w14:textId="77777777" w:rsidR="0041570C" w:rsidRDefault="0041570C">
            <w:pPr>
              <w:pStyle w:val="NormalSm"/>
              <w:keepNext/>
              <w:keepLines/>
              <w:spacing w:before="120" w:after="120" w:line="240" w:lineRule="auto"/>
              <w:rPr>
                <w:rFonts w:ascii="Arial" w:hAnsi="Arial" w:cs="Arial"/>
                <w:lang w:eastAsia="en-US"/>
              </w:rPr>
            </w:pPr>
            <w:r>
              <w:rPr>
                <w:rFonts w:ascii="Arial" w:hAnsi="Arial" w:cs="Arial"/>
                <w:lang w:eastAsia="en-US"/>
              </w:rPr>
              <w:t>Aaa-bf</w:t>
            </w:r>
          </w:p>
        </w:tc>
        <w:tc>
          <w:tcPr>
            <w:tcW w:w="1667" w:type="pct"/>
            <w:gridSpan w:val="4"/>
            <w:tcBorders>
              <w:top w:val="single" w:sz="4" w:space="0" w:color="auto"/>
              <w:left w:val="single" w:sz="4" w:space="0" w:color="auto"/>
              <w:bottom w:val="single" w:sz="4" w:space="0" w:color="auto"/>
              <w:right w:val="single" w:sz="4" w:space="0" w:color="auto"/>
            </w:tcBorders>
            <w:hideMark/>
          </w:tcPr>
          <w:p w14:paraId="5A909FBE" w14:textId="77777777" w:rsidR="0041570C" w:rsidRDefault="0041570C">
            <w:pPr>
              <w:pStyle w:val="NormalSm"/>
              <w:keepNext/>
              <w:keepLines/>
              <w:spacing w:before="120" w:after="120" w:line="240" w:lineRule="auto"/>
              <w:rPr>
                <w:rFonts w:ascii="Arial" w:hAnsi="Arial" w:cs="Arial"/>
                <w:lang w:eastAsia="en-US"/>
              </w:rPr>
            </w:pPr>
            <w:r>
              <w:rPr>
                <w:rFonts w:ascii="Arial" w:hAnsi="Arial" w:cs="Arial"/>
                <w:lang w:eastAsia="en-US"/>
              </w:rPr>
              <w:t>AAAf</w:t>
            </w:r>
          </w:p>
        </w:tc>
      </w:tr>
    </w:tbl>
    <w:p w14:paraId="1D5AF050" w14:textId="77777777" w:rsidR="0041570C" w:rsidRDefault="0041570C" w:rsidP="0041570C">
      <w:pPr>
        <w:rPr>
          <w:rFonts w:cs="Arial"/>
          <w:szCs w:val="24"/>
        </w:rPr>
      </w:pPr>
    </w:p>
    <w:p w14:paraId="44C1F1EC" w14:textId="77777777" w:rsidR="0041570C" w:rsidRDefault="0041570C" w:rsidP="0041570C">
      <w:pPr>
        <w:rPr>
          <w:rFonts w:cs="Arial"/>
          <w:szCs w:val="24"/>
        </w:rPr>
      </w:pPr>
      <w:r>
        <w:rPr>
          <w:rFonts w:cs="Arial"/>
          <w:szCs w:val="24"/>
        </w:rPr>
        <w:t xml:space="preserve">Lower ratings are balanced be higher ones in order to maintain credit risk on rated instruments that is no greater than a 12 month deposit with AA- instituition. This is determined by assigning a credit factor to each rated investment, per </w:t>
      </w:r>
      <w:r>
        <w:rPr>
          <w:rFonts w:cs="Arial"/>
          <w:b/>
          <w:bCs/>
          <w:szCs w:val="24"/>
        </w:rPr>
        <w:t>Table 4</w:t>
      </w:r>
      <w:r>
        <w:rPr>
          <w:rFonts w:cs="Arial"/>
          <w:szCs w:val="24"/>
        </w:rPr>
        <w:t xml:space="preserve"> and calculating a weighted average portfolio credit factor (PCF). This must remain below 5 and no single instrument may exceed 10.</w:t>
      </w:r>
    </w:p>
    <w:p w14:paraId="5F6AC1CD" w14:textId="77777777" w:rsidR="0041570C" w:rsidRDefault="0041570C" w:rsidP="0041570C">
      <w:pPr>
        <w:rPr>
          <w:rFonts w:cs="Arial"/>
          <w:b/>
          <w:bCs/>
          <w:szCs w:val="24"/>
        </w:rPr>
      </w:pPr>
      <w:r>
        <w:rPr>
          <w:rFonts w:cs="Arial"/>
          <w:b/>
          <w:bCs/>
          <w:szCs w:val="24"/>
        </w:rPr>
        <w:t>Table 4 – Credit Factors</w:t>
      </w:r>
    </w:p>
    <w:tbl>
      <w:tblPr>
        <w:tblStyle w:val="MediumGrid3-Accent12"/>
        <w:tblW w:w="0" w:type="auto"/>
        <w:tblInd w:w="0" w:type="dxa"/>
        <w:tblLook w:val="04A0" w:firstRow="1" w:lastRow="0" w:firstColumn="1" w:lastColumn="0" w:noHBand="0" w:noVBand="1"/>
      </w:tblPr>
      <w:tblGrid>
        <w:gridCol w:w="958"/>
        <w:gridCol w:w="717"/>
        <w:gridCol w:w="705"/>
        <w:gridCol w:w="705"/>
        <w:gridCol w:w="842"/>
        <w:gridCol w:w="842"/>
        <w:gridCol w:w="842"/>
        <w:gridCol w:w="842"/>
        <w:gridCol w:w="862"/>
        <w:gridCol w:w="980"/>
      </w:tblGrid>
      <w:tr w:rsidR="0041570C" w14:paraId="0BF752F9" w14:textId="77777777" w:rsidTr="0041570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gridSpan w:val="10"/>
            <w:shd w:val="clear" w:color="auto" w:fill="95B3D7" w:themeFill="accent1" w:themeFillTint="99"/>
            <w:vAlign w:val="bottom"/>
            <w:hideMark/>
          </w:tcPr>
          <w:p w14:paraId="1D99B1DD" w14:textId="77777777" w:rsidR="0041570C" w:rsidRDefault="0041570C">
            <w:pPr>
              <w:keepNext/>
              <w:keepLines/>
              <w:spacing w:before="120" w:after="120"/>
              <w:contextualSpacing/>
              <w:rPr>
                <w:rFonts w:cs="Arial"/>
                <w:lang w:eastAsia="en-GB"/>
              </w:rPr>
            </w:pPr>
            <w:r>
              <w:rPr>
                <w:rFonts w:cs="Arial"/>
                <w:lang w:eastAsia="en-GB"/>
              </w:rPr>
              <w:lastRenderedPageBreak/>
              <w:t>Credit Factors based on Issuer Default Rating (Fitch and Fitch Equivalents)</w:t>
            </w:r>
          </w:p>
          <w:p w14:paraId="2C491D57" w14:textId="77777777" w:rsidR="0041570C" w:rsidRDefault="0041570C">
            <w:pPr>
              <w:keepNext/>
              <w:keepLines/>
              <w:spacing w:before="120" w:after="120"/>
              <w:contextualSpacing/>
              <w:rPr>
                <w:rFonts w:cs="Arial"/>
                <w:lang w:eastAsia="en-GB"/>
              </w:rPr>
            </w:pPr>
            <w:r>
              <w:rPr>
                <w:rFonts w:cs="Arial"/>
                <w:lang w:eastAsia="en-GB"/>
              </w:rPr>
              <w:t>Use instrument rating or if not rated, rating of Issuer.</w:t>
            </w:r>
          </w:p>
        </w:tc>
      </w:tr>
      <w:tr w:rsidR="0041570C" w14:paraId="0BC83FDA" w14:textId="77777777" w:rsidTr="0041570C">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vAlign w:val="bottom"/>
            <w:hideMark/>
          </w:tcPr>
          <w:p w14:paraId="2A36CF0F" w14:textId="77777777" w:rsidR="0041570C" w:rsidRDefault="0041570C">
            <w:pPr>
              <w:keepNext/>
              <w:keepLines/>
              <w:spacing w:before="120" w:after="120"/>
              <w:contextualSpacing/>
              <w:rPr>
                <w:rFonts w:cs="Arial"/>
                <w:lang w:eastAsia="en-GB"/>
              </w:rPr>
            </w:pPr>
            <w:r>
              <w:rPr>
                <w:rFonts w:cs="Arial"/>
                <w:lang w:eastAsia="en-GB"/>
              </w:rPr>
              <w:t>Days</w:t>
            </w:r>
          </w:p>
        </w:tc>
        <w:tc>
          <w:tcPr>
            <w:tcW w:w="0" w:type="auto"/>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bottom"/>
            <w:hideMark/>
          </w:tcPr>
          <w:p w14:paraId="13B2398F" w14:textId="77777777" w:rsidR="0041570C" w:rsidRDefault="0041570C">
            <w:pPr>
              <w:keepNext/>
              <w:keepLines/>
              <w:spacing w:before="120" w:after="120"/>
              <w:contextualSpacing/>
              <w:cnfStyle w:val="000000000000" w:firstRow="0" w:lastRow="0" w:firstColumn="0" w:lastColumn="0" w:oddVBand="0" w:evenVBand="0" w:oddHBand="0" w:evenHBand="0" w:firstRowFirstColumn="0" w:firstRowLastColumn="0" w:lastRowFirstColumn="0" w:lastRowLastColumn="0"/>
              <w:rPr>
                <w:rFonts w:cs="Arial"/>
                <w:bCs/>
                <w:lang w:eastAsia="en-GB"/>
              </w:rPr>
            </w:pPr>
            <w:r>
              <w:rPr>
                <w:rFonts w:cs="Arial"/>
                <w:lang w:eastAsia="en-GB"/>
              </w:rPr>
              <w:t>AAA</w:t>
            </w:r>
          </w:p>
        </w:tc>
        <w:tc>
          <w:tcPr>
            <w:tcW w:w="0" w:type="auto"/>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bottom"/>
            <w:hideMark/>
          </w:tcPr>
          <w:p w14:paraId="3756E4E3" w14:textId="77777777" w:rsidR="0041570C" w:rsidRDefault="0041570C">
            <w:pPr>
              <w:keepNext/>
              <w:keepLines/>
              <w:spacing w:before="120" w:after="120"/>
              <w:contextualSpacing/>
              <w:cnfStyle w:val="000000000000" w:firstRow="0" w:lastRow="0" w:firstColumn="0" w:lastColumn="0" w:oddVBand="0" w:evenVBand="0" w:oddHBand="0" w:evenHBand="0" w:firstRowFirstColumn="0" w:firstRowLastColumn="0" w:lastRowFirstColumn="0" w:lastRowLastColumn="0"/>
              <w:rPr>
                <w:rFonts w:cs="Arial"/>
                <w:bCs/>
                <w:lang w:eastAsia="en-GB"/>
              </w:rPr>
            </w:pPr>
            <w:r>
              <w:rPr>
                <w:rFonts w:cs="Arial"/>
                <w:lang w:eastAsia="en-GB"/>
              </w:rPr>
              <w:t>AA+</w:t>
            </w:r>
          </w:p>
        </w:tc>
        <w:tc>
          <w:tcPr>
            <w:tcW w:w="0" w:type="auto"/>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bottom"/>
            <w:hideMark/>
          </w:tcPr>
          <w:p w14:paraId="1B97AC50" w14:textId="77777777" w:rsidR="0041570C" w:rsidRDefault="0041570C">
            <w:pPr>
              <w:keepNext/>
              <w:keepLines/>
              <w:spacing w:before="120" w:after="120"/>
              <w:contextualSpacing/>
              <w:cnfStyle w:val="000000000000" w:firstRow="0" w:lastRow="0" w:firstColumn="0" w:lastColumn="0" w:oddVBand="0" w:evenVBand="0" w:oddHBand="0" w:evenHBand="0" w:firstRowFirstColumn="0" w:firstRowLastColumn="0" w:lastRowFirstColumn="0" w:lastRowLastColumn="0"/>
              <w:rPr>
                <w:rFonts w:cs="Arial"/>
                <w:bCs/>
                <w:lang w:eastAsia="en-GB"/>
              </w:rPr>
            </w:pPr>
            <w:r>
              <w:rPr>
                <w:rFonts w:cs="Arial"/>
                <w:lang w:eastAsia="en-GB"/>
              </w:rPr>
              <w:t>AA</w:t>
            </w:r>
          </w:p>
        </w:tc>
        <w:tc>
          <w:tcPr>
            <w:tcW w:w="0" w:type="auto"/>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bottom"/>
            <w:hideMark/>
          </w:tcPr>
          <w:p w14:paraId="24BA365B" w14:textId="77777777" w:rsidR="0041570C" w:rsidRDefault="0041570C">
            <w:pPr>
              <w:keepNext/>
              <w:keepLines/>
              <w:spacing w:before="120" w:after="120"/>
              <w:contextualSpacing/>
              <w:cnfStyle w:val="000000000000" w:firstRow="0" w:lastRow="0" w:firstColumn="0" w:lastColumn="0" w:oddVBand="0" w:evenVBand="0" w:oddHBand="0" w:evenHBand="0" w:firstRowFirstColumn="0" w:firstRowLastColumn="0" w:lastRowFirstColumn="0" w:lastRowLastColumn="0"/>
              <w:rPr>
                <w:rFonts w:cs="Arial"/>
                <w:bCs/>
                <w:lang w:eastAsia="en-GB"/>
              </w:rPr>
            </w:pPr>
            <w:r>
              <w:rPr>
                <w:rFonts w:cs="Arial"/>
                <w:lang w:eastAsia="en-GB"/>
              </w:rPr>
              <w:t>AA−</w:t>
            </w:r>
          </w:p>
        </w:tc>
        <w:tc>
          <w:tcPr>
            <w:tcW w:w="0" w:type="auto"/>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bottom"/>
            <w:hideMark/>
          </w:tcPr>
          <w:p w14:paraId="16C40ADE" w14:textId="77777777" w:rsidR="0041570C" w:rsidRDefault="0041570C">
            <w:pPr>
              <w:keepNext/>
              <w:keepLines/>
              <w:spacing w:before="120" w:after="120"/>
              <w:contextualSpacing/>
              <w:cnfStyle w:val="000000000000" w:firstRow="0" w:lastRow="0" w:firstColumn="0" w:lastColumn="0" w:oddVBand="0" w:evenVBand="0" w:oddHBand="0" w:evenHBand="0" w:firstRowFirstColumn="0" w:firstRowLastColumn="0" w:lastRowFirstColumn="0" w:lastRowLastColumn="0"/>
              <w:rPr>
                <w:rFonts w:cs="Arial"/>
                <w:bCs/>
                <w:lang w:eastAsia="en-GB"/>
              </w:rPr>
            </w:pPr>
            <w:r>
              <w:rPr>
                <w:rFonts w:cs="Arial"/>
                <w:lang w:eastAsia="en-GB"/>
              </w:rPr>
              <w:t>A+</w:t>
            </w:r>
          </w:p>
        </w:tc>
        <w:tc>
          <w:tcPr>
            <w:tcW w:w="0" w:type="auto"/>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bottom"/>
            <w:hideMark/>
          </w:tcPr>
          <w:p w14:paraId="79E196E6" w14:textId="77777777" w:rsidR="0041570C" w:rsidRDefault="0041570C">
            <w:pPr>
              <w:keepNext/>
              <w:keepLines/>
              <w:spacing w:before="120" w:after="120"/>
              <w:contextualSpacing/>
              <w:cnfStyle w:val="000000000000" w:firstRow="0" w:lastRow="0" w:firstColumn="0" w:lastColumn="0" w:oddVBand="0" w:evenVBand="0" w:oddHBand="0" w:evenHBand="0" w:firstRowFirstColumn="0" w:firstRowLastColumn="0" w:lastRowFirstColumn="0" w:lastRowLastColumn="0"/>
              <w:rPr>
                <w:rFonts w:cs="Arial"/>
                <w:bCs/>
                <w:lang w:eastAsia="en-GB"/>
              </w:rPr>
            </w:pPr>
            <w:r>
              <w:rPr>
                <w:rFonts w:cs="Arial"/>
                <w:lang w:eastAsia="en-GB"/>
              </w:rPr>
              <w:t>A</w:t>
            </w:r>
          </w:p>
        </w:tc>
        <w:tc>
          <w:tcPr>
            <w:tcW w:w="0" w:type="auto"/>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bottom"/>
            <w:hideMark/>
          </w:tcPr>
          <w:p w14:paraId="5E66F4DB" w14:textId="77777777" w:rsidR="0041570C" w:rsidRDefault="0041570C">
            <w:pPr>
              <w:keepNext/>
              <w:keepLines/>
              <w:spacing w:before="120" w:after="120"/>
              <w:contextualSpacing/>
              <w:cnfStyle w:val="000000000000" w:firstRow="0" w:lastRow="0" w:firstColumn="0" w:lastColumn="0" w:oddVBand="0" w:evenVBand="0" w:oddHBand="0" w:evenHBand="0" w:firstRowFirstColumn="0" w:firstRowLastColumn="0" w:lastRowFirstColumn="0" w:lastRowLastColumn="0"/>
              <w:rPr>
                <w:rFonts w:cs="Arial"/>
                <w:bCs/>
                <w:lang w:eastAsia="en-GB"/>
              </w:rPr>
            </w:pPr>
            <w:r>
              <w:rPr>
                <w:rFonts w:cs="Arial"/>
                <w:lang w:eastAsia="en-GB"/>
              </w:rPr>
              <w:t>A−</w:t>
            </w:r>
          </w:p>
        </w:tc>
        <w:tc>
          <w:tcPr>
            <w:tcW w:w="0" w:type="auto"/>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bottom"/>
            <w:hideMark/>
          </w:tcPr>
          <w:p w14:paraId="2ECC66C7" w14:textId="77777777" w:rsidR="0041570C" w:rsidRDefault="0041570C">
            <w:pPr>
              <w:keepNext/>
              <w:keepLines/>
              <w:spacing w:before="120" w:after="120"/>
              <w:contextualSpacing/>
              <w:cnfStyle w:val="000000000000" w:firstRow="0" w:lastRow="0" w:firstColumn="0" w:lastColumn="0" w:oddVBand="0" w:evenVBand="0" w:oddHBand="0" w:evenHBand="0" w:firstRowFirstColumn="0" w:firstRowLastColumn="0" w:lastRowFirstColumn="0" w:lastRowLastColumn="0"/>
              <w:rPr>
                <w:rFonts w:cs="Arial"/>
                <w:bCs/>
                <w:lang w:eastAsia="en-GB"/>
              </w:rPr>
            </w:pPr>
            <w:r>
              <w:rPr>
                <w:rFonts w:cs="Arial"/>
                <w:lang w:eastAsia="en-GB"/>
              </w:rPr>
              <w:t>BBB+</w:t>
            </w:r>
          </w:p>
        </w:tc>
        <w:tc>
          <w:tcPr>
            <w:tcW w:w="0" w:type="auto"/>
            <w:tcBorders>
              <w:top w:val="single" w:sz="8" w:space="0" w:color="FFFFFF"/>
              <w:left w:val="single" w:sz="8" w:space="0" w:color="FFFFFF"/>
              <w:bottom w:val="single" w:sz="8" w:space="0" w:color="FFFFFF"/>
              <w:right w:val="single" w:sz="8" w:space="0" w:color="FFFFFF"/>
            </w:tcBorders>
            <w:shd w:val="clear" w:color="auto" w:fill="95B3D7" w:themeFill="accent1" w:themeFillTint="99"/>
            <w:vAlign w:val="bottom"/>
            <w:hideMark/>
          </w:tcPr>
          <w:p w14:paraId="728FA560" w14:textId="77777777" w:rsidR="0041570C" w:rsidRDefault="0041570C">
            <w:pPr>
              <w:keepNext/>
              <w:keepLines/>
              <w:spacing w:before="120" w:after="120"/>
              <w:contextualSpacing/>
              <w:cnfStyle w:val="000000000000" w:firstRow="0" w:lastRow="0" w:firstColumn="0" w:lastColumn="0" w:oddVBand="0" w:evenVBand="0" w:oddHBand="0" w:evenHBand="0" w:firstRowFirstColumn="0" w:firstRowLastColumn="0" w:lastRowFirstColumn="0" w:lastRowLastColumn="0"/>
              <w:rPr>
                <w:rFonts w:cs="Arial"/>
                <w:bCs/>
                <w:lang w:eastAsia="en-GB"/>
              </w:rPr>
            </w:pPr>
            <w:r>
              <w:rPr>
                <w:rFonts w:cs="Arial"/>
                <w:lang w:eastAsia="en-GB"/>
              </w:rPr>
              <w:t>BBB</w:t>
            </w:r>
          </w:p>
        </w:tc>
      </w:tr>
      <w:tr w:rsidR="0041570C" w14:paraId="2FD74B96" w14:textId="77777777" w:rsidTr="0041570C">
        <w:trPr>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FFFFFF"/>
            </w:tcBorders>
            <w:shd w:val="clear" w:color="auto" w:fill="95B3D7" w:themeFill="accent1" w:themeFillTint="99"/>
            <w:vAlign w:val="center"/>
            <w:hideMark/>
          </w:tcPr>
          <w:p w14:paraId="1C4637EF" w14:textId="77777777" w:rsidR="0041570C" w:rsidRDefault="0041570C">
            <w:pPr>
              <w:keepNext/>
              <w:keepLines/>
              <w:spacing w:before="120" w:after="120"/>
              <w:contextualSpacing/>
              <w:rPr>
                <w:rFonts w:cs="Arial"/>
                <w:lang w:eastAsia="en-GB"/>
              </w:rPr>
            </w:pPr>
            <w:r>
              <w:rPr>
                <w:rFonts w:cs="Arial"/>
                <w:lang w:eastAsia="en-GB"/>
              </w:rPr>
              <w:t>O/N</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4CDC85F8"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0.01</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430C5322"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0.01</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4ADE2999"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0.01</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47EEC226"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0.01</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2D9B1767"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0.02</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31DD9DF7"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0.03</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1E01D484"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0.04</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47427FE1"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0.07</w:t>
            </w:r>
          </w:p>
        </w:tc>
        <w:tc>
          <w:tcPr>
            <w:tcW w:w="0" w:type="auto"/>
            <w:tcBorders>
              <w:top w:val="single" w:sz="6" w:space="0" w:color="FFFFFF"/>
              <w:left w:val="single" w:sz="6" w:space="0" w:color="FFFFFF"/>
              <w:bottom w:val="single" w:sz="6" w:space="0" w:color="FFFFFF"/>
              <w:right w:val="single" w:sz="8" w:space="0" w:color="FFFFFF"/>
            </w:tcBorders>
            <w:shd w:val="clear" w:color="auto" w:fill="D6E3BC"/>
            <w:vAlign w:val="center"/>
            <w:hideMark/>
          </w:tcPr>
          <w:p w14:paraId="5D30AFDB"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0.10</w:t>
            </w:r>
          </w:p>
        </w:tc>
      </w:tr>
      <w:tr w:rsidR="0041570C" w14:paraId="66EED7BA" w14:textId="77777777" w:rsidTr="0041570C">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vAlign w:val="center"/>
            <w:hideMark/>
          </w:tcPr>
          <w:p w14:paraId="717B89F6" w14:textId="77777777" w:rsidR="0041570C" w:rsidRDefault="0041570C">
            <w:pPr>
              <w:keepNext/>
              <w:keepLines/>
              <w:spacing w:before="120" w:after="120"/>
              <w:contextualSpacing/>
              <w:rPr>
                <w:rFonts w:cs="Arial"/>
                <w:lang w:eastAsia="en-GB"/>
              </w:rPr>
            </w:pPr>
            <w:r>
              <w:rPr>
                <w:rFonts w:cs="Arial"/>
                <w:lang w:eastAsia="en-GB"/>
              </w:rPr>
              <w:t>2-7</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2B68A5B8"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0.02</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68AA475A"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0.04</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67803AC8"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0.06</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3D5C0ADC"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0.10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0F196B99"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0.15</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5D417F9B"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0.20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34C951E6"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0.30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2A57B04F"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0.50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011392AE"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0.80</w:t>
            </w:r>
          </w:p>
        </w:tc>
      </w:tr>
      <w:tr w:rsidR="0041570C" w14:paraId="6E899D59" w14:textId="77777777" w:rsidTr="0041570C">
        <w:trPr>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FFFFFF"/>
            </w:tcBorders>
            <w:shd w:val="clear" w:color="auto" w:fill="95B3D7" w:themeFill="accent1" w:themeFillTint="99"/>
            <w:vAlign w:val="center"/>
            <w:hideMark/>
          </w:tcPr>
          <w:p w14:paraId="73D6F573" w14:textId="77777777" w:rsidR="0041570C" w:rsidRDefault="0041570C">
            <w:pPr>
              <w:keepNext/>
              <w:keepLines/>
              <w:spacing w:before="120" w:after="120"/>
              <w:contextualSpacing/>
              <w:rPr>
                <w:rFonts w:cs="Arial"/>
                <w:lang w:eastAsia="en-GB"/>
              </w:rPr>
            </w:pPr>
            <w:r>
              <w:rPr>
                <w:rFonts w:cs="Arial"/>
                <w:lang w:eastAsia="en-GB"/>
              </w:rPr>
              <w:t>8-30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18934440"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0.10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64AE0E4F"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0.15</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0467DC59"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0.25</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1F7CE82C"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0.40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15E3AF69"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0.60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5ACD174D"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0.75</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0903BBBE"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1.30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6F462889"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2.10</w:t>
            </w:r>
          </w:p>
        </w:tc>
        <w:tc>
          <w:tcPr>
            <w:tcW w:w="0" w:type="auto"/>
            <w:tcBorders>
              <w:top w:val="single" w:sz="6" w:space="0" w:color="FFFFFF"/>
              <w:left w:val="single" w:sz="6" w:space="0" w:color="FFFFFF"/>
              <w:bottom w:val="single" w:sz="6" w:space="0" w:color="FFFFFF"/>
              <w:right w:val="single" w:sz="8" w:space="0" w:color="FFFFFF"/>
            </w:tcBorders>
            <w:shd w:val="clear" w:color="auto" w:fill="D6E3BC"/>
            <w:vAlign w:val="center"/>
            <w:hideMark/>
          </w:tcPr>
          <w:p w14:paraId="718DF8AB"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3.50</w:t>
            </w:r>
          </w:p>
        </w:tc>
      </w:tr>
      <w:tr w:rsidR="0041570C" w14:paraId="0FA96343" w14:textId="77777777" w:rsidTr="0041570C">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vAlign w:val="center"/>
            <w:hideMark/>
          </w:tcPr>
          <w:p w14:paraId="30664875" w14:textId="77777777" w:rsidR="0041570C" w:rsidRDefault="0041570C">
            <w:pPr>
              <w:keepNext/>
              <w:keepLines/>
              <w:spacing w:before="120" w:after="120"/>
              <w:contextualSpacing/>
              <w:rPr>
                <w:rFonts w:cs="Arial"/>
                <w:lang w:eastAsia="en-GB"/>
              </w:rPr>
            </w:pPr>
            <w:r>
              <w:rPr>
                <w:rFonts w:cs="Arial"/>
                <w:lang w:eastAsia="en-GB"/>
              </w:rPr>
              <w:t>31-60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5EF68459"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0.20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32402DFD"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0.30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63310CB6"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0.50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6BC19F18"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0.80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7E015B05"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1.20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150DC009"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1.50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4B8CDE6E"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2.60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763DEE89"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4.20</w:t>
            </w:r>
          </w:p>
        </w:tc>
        <w:tc>
          <w:tcPr>
            <w:tcW w:w="0" w:type="auto"/>
            <w:tcBorders>
              <w:top w:val="single" w:sz="8" w:space="0" w:color="FFFFFF"/>
              <w:left w:val="single" w:sz="8" w:space="0" w:color="FFFFFF"/>
              <w:bottom w:val="single" w:sz="8" w:space="0" w:color="FFFFFF"/>
              <w:right w:val="single" w:sz="8" w:space="0" w:color="FFFFFF"/>
            </w:tcBorders>
            <w:shd w:val="clear" w:color="auto" w:fill="FCDD9E"/>
            <w:vAlign w:val="center"/>
            <w:hideMark/>
          </w:tcPr>
          <w:p w14:paraId="40F4F009"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7.00</w:t>
            </w:r>
          </w:p>
        </w:tc>
      </w:tr>
      <w:tr w:rsidR="0041570C" w14:paraId="08B0355D" w14:textId="77777777" w:rsidTr="0041570C">
        <w:trPr>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FFFFFF"/>
            </w:tcBorders>
            <w:shd w:val="clear" w:color="auto" w:fill="95B3D7" w:themeFill="accent1" w:themeFillTint="99"/>
            <w:vAlign w:val="center"/>
            <w:hideMark/>
          </w:tcPr>
          <w:p w14:paraId="7051BA95" w14:textId="77777777" w:rsidR="0041570C" w:rsidRDefault="0041570C">
            <w:pPr>
              <w:keepNext/>
              <w:keepLines/>
              <w:spacing w:before="120" w:after="120"/>
              <w:contextualSpacing/>
              <w:rPr>
                <w:rFonts w:cs="Arial"/>
                <w:lang w:eastAsia="en-GB"/>
              </w:rPr>
            </w:pPr>
            <w:r>
              <w:rPr>
                <w:rFonts w:cs="Arial"/>
                <w:lang w:eastAsia="en-GB"/>
              </w:rPr>
              <w:t>61-90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0A6FDDA5"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0.25</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0096ABA2"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0.50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2F430B2B"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0.75</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3A1035A2"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1.25</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1AE651FF"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1.50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10E46008"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2.50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2444D5D2"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5.00</w:t>
            </w:r>
          </w:p>
        </w:tc>
        <w:tc>
          <w:tcPr>
            <w:tcW w:w="0" w:type="auto"/>
            <w:tcBorders>
              <w:top w:val="single" w:sz="6" w:space="0" w:color="FFFFFF"/>
              <w:left w:val="single" w:sz="6" w:space="0" w:color="FFFFFF"/>
              <w:bottom w:val="single" w:sz="6" w:space="0" w:color="FFFFFF"/>
              <w:right w:val="single" w:sz="6" w:space="0" w:color="FFFFFF"/>
            </w:tcBorders>
            <w:shd w:val="clear" w:color="auto" w:fill="FCDD9E"/>
            <w:vAlign w:val="center"/>
            <w:hideMark/>
          </w:tcPr>
          <w:p w14:paraId="7FCB94A1"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7.50</w:t>
            </w:r>
          </w:p>
        </w:tc>
        <w:tc>
          <w:tcPr>
            <w:tcW w:w="0" w:type="auto"/>
            <w:tcBorders>
              <w:top w:val="single" w:sz="6" w:space="0" w:color="FFFFFF"/>
              <w:left w:val="single" w:sz="6" w:space="0" w:color="FFFFFF"/>
              <w:bottom w:val="single" w:sz="6" w:space="0" w:color="FFFFFF"/>
              <w:right w:val="single" w:sz="8" w:space="0" w:color="FFFFFF"/>
            </w:tcBorders>
            <w:shd w:val="clear" w:color="auto" w:fill="FCDD9E"/>
            <w:vAlign w:val="center"/>
            <w:hideMark/>
          </w:tcPr>
          <w:p w14:paraId="4011DF4C"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10.00</w:t>
            </w:r>
          </w:p>
        </w:tc>
      </w:tr>
      <w:tr w:rsidR="0041570C" w14:paraId="69320E8D" w14:textId="77777777" w:rsidTr="0041570C">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vAlign w:val="center"/>
            <w:hideMark/>
          </w:tcPr>
          <w:p w14:paraId="6AFBE096" w14:textId="77777777" w:rsidR="0041570C" w:rsidRDefault="0041570C">
            <w:pPr>
              <w:keepNext/>
              <w:keepLines/>
              <w:spacing w:before="120" w:after="120"/>
              <w:contextualSpacing/>
              <w:rPr>
                <w:rFonts w:cs="Arial"/>
                <w:lang w:eastAsia="en-GB"/>
              </w:rPr>
            </w:pPr>
            <w:r>
              <w:rPr>
                <w:rFonts w:cs="Arial"/>
                <w:lang w:eastAsia="en-GB"/>
              </w:rPr>
              <w:t>91-120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5BE3D659"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0.35</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4EA2F7E9"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0.65</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5D0D8ED8"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1.00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6C2DCF34"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1.50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3472FCD2"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2.30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3A59D2BD"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3.30</w:t>
            </w:r>
          </w:p>
        </w:tc>
        <w:tc>
          <w:tcPr>
            <w:tcW w:w="0" w:type="auto"/>
            <w:tcBorders>
              <w:top w:val="single" w:sz="8" w:space="0" w:color="FFFFFF"/>
              <w:left w:val="single" w:sz="8" w:space="0" w:color="FFFFFF"/>
              <w:bottom w:val="single" w:sz="8" w:space="0" w:color="FFFFFF"/>
              <w:right w:val="single" w:sz="8" w:space="0" w:color="FFFFFF"/>
            </w:tcBorders>
            <w:shd w:val="clear" w:color="auto" w:fill="FCDD9E"/>
            <w:vAlign w:val="center"/>
            <w:hideMark/>
          </w:tcPr>
          <w:p w14:paraId="22F67D52"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6.60</w:t>
            </w:r>
          </w:p>
        </w:tc>
        <w:tc>
          <w:tcPr>
            <w:tcW w:w="0" w:type="auto"/>
            <w:tcBorders>
              <w:top w:val="single" w:sz="8" w:space="0" w:color="FFFFFF"/>
              <w:left w:val="single" w:sz="8" w:space="0" w:color="FFFFFF"/>
              <w:bottom w:val="single" w:sz="8" w:space="0" w:color="FFFFFF"/>
              <w:right w:val="single" w:sz="8" w:space="0" w:color="FFFFFF"/>
            </w:tcBorders>
            <w:shd w:val="clear" w:color="auto" w:fill="FCDD9E"/>
            <w:vAlign w:val="center"/>
            <w:hideMark/>
          </w:tcPr>
          <w:p w14:paraId="65327267"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10.00</w:t>
            </w:r>
          </w:p>
        </w:tc>
        <w:tc>
          <w:tcPr>
            <w:tcW w:w="0" w:type="auto"/>
            <w:tcBorders>
              <w:top w:val="single" w:sz="8" w:space="0" w:color="FFFFFF"/>
              <w:left w:val="single" w:sz="8" w:space="0" w:color="FFFFFF"/>
              <w:bottom w:val="single" w:sz="8" w:space="0" w:color="FFFFFF"/>
              <w:right w:val="single" w:sz="8" w:space="0" w:color="FFFFFF"/>
            </w:tcBorders>
            <w:shd w:val="clear" w:color="auto" w:fill="F2DBDB"/>
            <w:vAlign w:val="center"/>
            <w:hideMark/>
          </w:tcPr>
          <w:p w14:paraId="5B5BBB6C"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13.50</w:t>
            </w:r>
          </w:p>
        </w:tc>
      </w:tr>
      <w:tr w:rsidR="0041570C" w14:paraId="465AA1B2" w14:textId="77777777" w:rsidTr="0041570C">
        <w:trPr>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FFFFFF"/>
            </w:tcBorders>
            <w:shd w:val="clear" w:color="auto" w:fill="95B3D7" w:themeFill="accent1" w:themeFillTint="99"/>
            <w:vAlign w:val="center"/>
            <w:hideMark/>
          </w:tcPr>
          <w:p w14:paraId="40651BC7" w14:textId="77777777" w:rsidR="0041570C" w:rsidRDefault="0041570C">
            <w:pPr>
              <w:keepNext/>
              <w:keepLines/>
              <w:spacing w:before="120" w:after="120"/>
              <w:contextualSpacing/>
              <w:rPr>
                <w:rFonts w:cs="Arial"/>
                <w:lang w:eastAsia="en-GB"/>
              </w:rPr>
            </w:pPr>
            <w:r>
              <w:rPr>
                <w:rFonts w:cs="Arial"/>
                <w:lang w:eastAsia="en-GB"/>
              </w:rPr>
              <w:t>121-150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01E771FF"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0.40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270CE8CE"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0.80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354BDDE9"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1.25</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3A8D1188"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2.10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50E658BC"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2.90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2FE70555"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4.20</w:t>
            </w:r>
          </w:p>
        </w:tc>
        <w:tc>
          <w:tcPr>
            <w:tcW w:w="0" w:type="auto"/>
            <w:tcBorders>
              <w:top w:val="single" w:sz="6" w:space="0" w:color="FFFFFF"/>
              <w:left w:val="single" w:sz="6" w:space="0" w:color="FFFFFF"/>
              <w:bottom w:val="single" w:sz="6" w:space="0" w:color="FFFFFF"/>
              <w:right w:val="single" w:sz="6" w:space="0" w:color="FFFFFF"/>
            </w:tcBorders>
            <w:shd w:val="clear" w:color="auto" w:fill="FCDD9E"/>
            <w:vAlign w:val="center"/>
            <w:hideMark/>
          </w:tcPr>
          <w:p w14:paraId="4CC449F9"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8.30</w:t>
            </w:r>
          </w:p>
        </w:tc>
        <w:tc>
          <w:tcPr>
            <w:tcW w:w="0" w:type="auto"/>
            <w:tcBorders>
              <w:top w:val="single" w:sz="6" w:space="0" w:color="FFFFFF"/>
              <w:left w:val="single" w:sz="6" w:space="0" w:color="FFFFFF"/>
              <w:bottom w:val="single" w:sz="6" w:space="0" w:color="FFFFFF"/>
              <w:right w:val="single" w:sz="6" w:space="0" w:color="FFFFFF"/>
            </w:tcBorders>
            <w:shd w:val="clear" w:color="auto" w:fill="F2DBDB"/>
            <w:vAlign w:val="center"/>
            <w:hideMark/>
          </w:tcPr>
          <w:p w14:paraId="2156A2DC"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12.50</w:t>
            </w:r>
          </w:p>
        </w:tc>
        <w:tc>
          <w:tcPr>
            <w:tcW w:w="0" w:type="auto"/>
            <w:tcBorders>
              <w:top w:val="single" w:sz="6" w:space="0" w:color="FFFFFF"/>
              <w:left w:val="single" w:sz="6" w:space="0" w:color="FFFFFF"/>
              <w:bottom w:val="single" w:sz="6" w:space="0" w:color="FFFFFF"/>
              <w:right w:val="single" w:sz="8" w:space="0" w:color="FFFFFF"/>
            </w:tcBorders>
            <w:shd w:val="clear" w:color="auto" w:fill="F2DBDB"/>
            <w:vAlign w:val="center"/>
            <w:hideMark/>
          </w:tcPr>
          <w:p w14:paraId="13B29DC1"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16.50</w:t>
            </w:r>
          </w:p>
        </w:tc>
      </w:tr>
      <w:tr w:rsidR="0041570C" w14:paraId="448D945B" w14:textId="77777777" w:rsidTr="0041570C">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vAlign w:val="center"/>
            <w:hideMark/>
          </w:tcPr>
          <w:p w14:paraId="1DFA066D" w14:textId="77777777" w:rsidR="0041570C" w:rsidRDefault="0041570C">
            <w:pPr>
              <w:keepNext/>
              <w:keepLines/>
              <w:spacing w:before="120" w:after="120"/>
              <w:contextualSpacing/>
              <w:rPr>
                <w:rFonts w:cs="Arial"/>
                <w:lang w:eastAsia="en-GB"/>
              </w:rPr>
            </w:pPr>
            <w:r>
              <w:rPr>
                <w:rFonts w:cs="Arial"/>
                <w:lang w:eastAsia="en-GB"/>
              </w:rPr>
              <w:t>151-180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1BD5587E"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0.50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62B0ABE5"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1.00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2EBF4D07"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1.50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7BFAE167"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2.50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62A620C8"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3.50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1A4475F2"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5.00</w:t>
            </w:r>
          </w:p>
        </w:tc>
        <w:tc>
          <w:tcPr>
            <w:tcW w:w="0" w:type="auto"/>
            <w:tcBorders>
              <w:top w:val="single" w:sz="8" w:space="0" w:color="FFFFFF"/>
              <w:left w:val="single" w:sz="8" w:space="0" w:color="FFFFFF"/>
              <w:bottom w:val="single" w:sz="8" w:space="0" w:color="FFFFFF"/>
              <w:right w:val="single" w:sz="8" w:space="0" w:color="FFFFFF"/>
            </w:tcBorders>
            <w:shd w:val="clear" w:color="auto" w:fill="FCDD9E"/>
            <w:vAlign w:val="center"/>
            <w:hideMark/>
          </w:tcPr>
          <w:p w14:paraId="4F6D7DDC"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10.00</w:t>
            </w:r>
          </w:p>
        </w:tc>
        <w:tc>
          <w:tcPr>
            <w:tcW w:w="0" w:type="auto"/>
            <w:tcBorders>
              <w:top w:val="single" w:sz="8" w:space="0" w:color="FFFFFF"/>
              <w:left w:val="single" w:sz="8" w:space="0" w:color="FFFFFF"/>
              <w:bottom w:val="single" w:sz="8" w:space="0" w:color="FFFFFF"/>
              <w:right w:val="single" w:sz="8" w:space="0" w:color="FFFFFF"/>
            </w:tcBorders>
            <w:shd w:val="clear" w:color="auto" w:fill="F2DBDB"/>
            <w:vAlign w:val="center"/>
            <w:hideMark/>
          </w:tcPr>
          <w:p w14:paraId="36823C8F"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15.00</w:t>
            </w:r>
          </w:p>
        </w:tc>
        <w:tc>
          <w:tcPr>
            <w:tcW w:w="0" w:type="auto"/>
            <w:tcBorders>
              <w:top w:val="single" w:sz="8" w:space="0" w:color="FFFFFF"/>
              <w:left w:val="single" w:sz="8" w:space="0" w:color="FFFFFF"/>
              <w:bottom w:val="single" w:sz="8" w:space="0" w:color="FFFFFF"/>
              <w:right w:val="single" w:sz="8" w:space="0" w:color="FFFFFF"/>
            </w:tcBorders>
            <w:shd w:val="clear" w:color="auto" w:fill="F2DBDB"/>
            <w:vAlign w:val="center"/>
            <w:hideMark/>
          </w:tcPr>
          <w:p w14:paraId="3D5A1969"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20.00</w:t>
            </w:r>
          </w:p>
        </w:tc>
      </w:tr>
      <w:tr w:rsidR="0041570C" w14:paraId="43AB1A41" w14:textId="77777777" w:rsidTr="0041570C">
        <w:trPr>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FFFFFF"/>
            </w:tcBorders>
            <w:shd w:val="clear" w:color="auto" w:fill="95B3D7" w:themeFill="accent1" w:themeFillTint="99"/>
            <w:vAlign w:val="center"/>
            <w:hideMark/>
          </w:tcPr>
          <w:p w14:paraId="06813E47" w14:textId="77777777" w:rsidR="0041570C" w:rsidRDefault="0041570C">
            <w:pPr>
              <w:keepNext/>
              <w:keepLines/>
              <w:spacing w:before="120" w:after="120"/>
              <w:contextualSpacing/>
              <w:rPr>
                <w:rFonts w:cs="Arial"/>
                <w:lang w:eastAsia="en-GB"/>
              </w:rPr>
            </w:pPr>
            <w:r>
              <w:rPr>
                <w:rFonts w:cs="Arial"/>
                <w:lang w:eastAsia="en-GB"/>
              </w:rPr>
              <w:t>181-210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273EEDC1"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0.60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3433D54A"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1.20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438A38FF"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1.75</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28B9628F"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3.00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6B06CC35"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4.00</w:t>
            </w:r>
          </w:p>
        </w:tc>
        <w:tc>
          <w:tcPr>
            <w:tcW w:w="0" w:type="auto"/>
            <w:tcBorders>
              <w:top w:val="single" w:sz="6" w:space="0" w:color="FFFFFF"/>
              <w:left w:val="single" w:sz="6" w:space="0" w:color="FFFFFF"/>
              <w:bottom w:val="single" w:sz="6" w:space="0" w:color="FFFFFF"/>
              <w:right w:val="single" w:sz="6" w:space="0" w:color="FFFFFF"/>
            </w:tcBorders>
            <w:shd w:val="clear" w:color="auto" w:fill="FCDD9E"/>
            <w:vAlign w:val="center"/>
            <w:hideMark/>
          </w:tcPr>
          <w:p w14:paraId="7ED4F94C"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5.80</w:t>
            </w:r>
          </w:p>
        </w:tc>
        <w:tc>
          <w:tcPr>
            <w:tcW w:w="0" w:type="auto"/>
            <w:tcBorders>
              <w:top w:val="single" w:sz="6" w:space="0" w:color="FFFFFF"/>
              <w:left w:val="single" w:sz="6" w:space="0" w:color="FFFFFF"/>
              <w:bottom w:val="single" w:sz="6" w:space="0" w:color="FFFFFF"/>
              <w:right w:val="single" w:sz="6" w:space="0" w:color="FFFFFF"/>
            </w:tcBorders>
            <w:shd w:val="clear" w:color="auto" w:fill="F2DBDB"/>
            <w:vAlign w:val="center"/>
            <w:hideMark/>
          </w:tcPr>
          <w:p w14:paraId="4B6CD61D"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11.70</w:t>
            </w:r>
          </w:p>
        </w:tc>
        <w:tc>
          <w:tcPr>
            <w:tcW w:w="0" w:type="auto"/>
            <w:tcBorders>
              <w:top w:val="single" w:sz="6" w:space="0" w:color="FFFFFF"/>
              <w:left w:val="single" w:sz="6" w:space="0" w:color="FFFFFF"/>
              <w:bottom w:val="single" w:sz="6" w:space="0" w:color="FFFFFF"/>
              <w:right w:val="single" w:sz="6" w:space="0" w:color="FFFFFF"/>
            </w:tcBorders>
            <w:shd w:val="clear" w:color="auto" w:fill="F2DBDB"/>
            <w:vAlign w:val="center"/>
            <w:hideMark/>
          </w:tcPr>
          <w:p w14:paraId="295EF9F7"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17.50</w:t>
            </w:r>
          </w:p>
        </w:tc>
        <w:tc>
          <w:tcPr>
            <w:tcW w:w="0" w:type="auto"/>
            <w:tcBorders>
              <w:top w:val="single" w:sz="6" w:space="0" w:color="FFFFFF"/>
              <w:left w:val="single" w:sz="6" w:space="0" w:color="FFFFFF"/>
              <w:bottom w:val="single" w:sz="6" w:space="0" w:color="FFFFFF"/>
              <w:right w:val="single" w:sz="8" w:space="0" w:color="FFFFFF"/>
            </w:tcBorders>
            <w:shd w:val="clear" w:color="auto" w:fill="F2DBDB"/>
            <w:vAlign w:val="center"/>
            <w:hideMark/>
          </w:tcPr>
          <w:p w14:paraId="3BA853FE"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23.50</w:t>
            </w:r>
          </w:p>
        </w:tc>
      </w:tr>
      <w:tr w:rsidR="0041570C" w14:paraId="04C184A9" w14:textId="77777777" w:rsidTr="0041570C">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vAlign w:val="center"/>
            <w:hideMark/>
          </w:tcPr>
          <w:p w14:paraId="161B076F" w14:textId="77777777" w:rsidR="0041570C" w:rsidRDefault="0041570C">
            <w:pPr>
              <w:keepNext/>
              <w:keepLines/>
              <w:spacing w:before="120" w:after="120"/>
              <w:contextualSpacing/>
              <w:rPr>
                <w:rFonts w:cs="Arial"/>
                <w:lang w:eastAsia="en-GB"/>
              </w:rPr>
            </w:pPr>
            <w:r>
              <w:rPr>
                <w:rFonts w:cs="Arial"/>
                <w:lang w:eastAsia="en-GB"/>
              </w:rPr>
              <w:t>211-240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25F8DC4E"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0.70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572871E7"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1.30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45A69564"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2.00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22BDFB71"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3.30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6D63D6EB"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4.70</w:t>
            </w:r>
          </w:p>
        </w:tc>
        <w:tc>
          <w:tcPr>
            <w:tcW w:w="0" w:type="auto"/>
            <w:tcBorders>
              <w:top w:val="single" w:sz="8" w:space="0" w:color="FFFFFF"/>
              <w:left w:val="single" w:sz="8" w:space="0" w:color="FFFFFF"/>
              <w:bottom w:val="single" w:sz="8" w:space="0" w:color="FFFFFF"/>
              <w:right w:val="single" w:sz="8" w:space="0" w:color="FFFFFF"/>
            </w:tcBorders>
            <w:shd w:val="clear" w:color="auto" w:fill="FCDD9E"/>
            <w:vAlign w:val="center"/>
            <w:hideMark/>
          </w:tcPr>
          <w:p w14:paraId="2A38F068"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6.60</w:t>
            </w:r>
          </w:p>
        </w:tc>
        <w:tc>
          <w:tcPr>
            <w:tcW w:w="0" w:type="auto"/>
            <w:tcBorders>
              <w:top w:val="single" w:sz="8" w:space="0" w:color="FFFFFF"/>
              <w:left w:val="single" w:sz="8" w:space="0" w:color="FFFFFF"/>
              <w:bottom w:val="single" w:sz="8" w:space="0" w:color="FFFFFF"/>
              <w:right w:val="single" w:sz="8" w:space="0" w:color="FFFFFF"/>
            </w:tcBorders>
            <w:shd w:val="clear" w:color="auto" w:fill="F2DBDB"/>
            <w:vAlign w:val="center"/>
            <w:hideMark/>
          </w:tcPr>
          <w:p w14:paraId="656B8325"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13.30</w:t>
            </w:r>
          </w:p>
        </w:tc>
        <w:tc>
          <w:tcPr>
            <w:tcW w:w="0" w:type="auto"/>
            <w:tcBorders>
              <w:top w:val="single" w:sz="8" w:space="0" w:color="FFFFFF"/>
              <w:left w:val="single" w:sz="8" w:space="0" w:color="FFFFFF"/>
              <w:bottom w:val="single" w:sz="8" w:space="0" w:color="FFFFFF"/>
              <w:right w:val="single" w:sz="8" w:space="0" w:color="FFFFFF"/>
            </w:tcBorders>
            <w:shd w:val="clear" w:color="auto" w:fill="F2DBDB"/>
            <w:vAlign w:val="center"/>
            <w:hideMark/>
          </w:tcPr>
          <w:p w14:paraId="68931993"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20.00</w:t>
            </w:r>
          </w:p>
        </w:tc>
        <w:tc>
          <w:tcPr>
            <w:tcW w:w="0" w:type="auto"/>
            <w:tcBorders>
              <w:top w:val="single" w:sz="8" w:space="0" w:color="FFFFFF"/>
              <w:left w:val="single" w:sz="8" w:space="0" w:color="FFFFFF"/>
              <w:bottom w:val="single" w:sz="8" w:space="0" w:color="FFFFFF"/>
              <w:right w:val="single" w:sz="8" w:space="0" w:color="FFFFFF"/>
            </w:tcBorders>
            <w:shd w:val="clear" w:color="auto" w:fill="F2DBDB"/>
            <w:vAlign w:val="center"/>
            <w:hideMark/>
          </w:tcPr>
          <w:p w14:paraId="6E491542"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27.00</w:t>
            </w:r>
          </w:p>
        </w:tc>
      </w:tr>
      <w:tr w:rsidR="0041570C" w14:paraId="57EFA3C7" w14:textId="77777777" w:rsidTr="0041570C">
        <w:trPr>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FFFFFF"/>
            </w:tcBorders>
            <w:shd w:val="clear" w:color="auto" w:fill="95B3D7" w:themeFill="accent1" w:themeFillTint="99"/>
            <w:vAlign w:val="center"/>
            <w:hideMark/>
          </w:tcPr>
          <w:p w14:paraId="0F0AE84B" w14:textId="77777777" w:rsidR="0041570C" w:rsidRDefault="0041570C">
            <w:pPr>
              <w:keepNext/>
              <w:keepLines/>
              <w:spacing w:before="120" w:after="120"/>
              <w:contextualSpacing/>
              <w:rPr>
                <w:rFonts w:cs="Arial"/>
                <w:lang w:eastAsia="en-GB"/>
              </w:rPr>
            </w:pPr>
            <w:r>
              <w:rPr>
                <w:rFonts w:cs="Arial"/>
                <w:lang w:eastAsia="en-GB"/>
              </w:rPr>
              <w:t>241-270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307E2EC2"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0.75</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73D49414"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1.50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3D41A7AC"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2.25</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1ACA3440"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3.75</w:t>
            </w:r>
          </w:p>
        </w:tc>
        <w:tc>
          <w:tcPr>
            <w:tcW w:w="0" w:type="auto"/>
            <w:tcBorders>
              <w:top w:val="single" w:sz="6" w:space="0" w:color="FFFFFF"/>
              <w:left w:val="single" w:sz="6" w:space="0" w:color="FFFFFF"/>
              <w:bottom w:val="single" w:sz="6" w:space="0" w:color="FFFFFF"/>
              <w:right w:val="single" w:sz="6" w:space="0" w:color="FFFFFF"/>
            </w:tcBorders>
            <w:shd w:val="clear" w:color="auto" w:fill="FCDD9E"/>
            <w:vAlign w:val="center"/>
            <w:hideMark/>
          </w:tcPr>
          <w:p w14:paraId="5A4328A8"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5.25</w:t>
            </w:r>
          </w:p>
        </w:tc>
        <w:tc>
          <w:tcPr>
            <w:tcW w:w="0" w:type="auto"/>
            <w:tcBorders>
              <w:top w:val="single" w:sz="6" w:space="0" w:color="FFFFFF"/>
              <w:left w:val="single" w:sz="6" w:space="0" w:color="FFFFFF"/>
              <w:bottom w:val="single" w:sz="6" w:space="0" w:color="FFFFFF"/>
              <w:right w:val="single" w:sz="6" w:space="0" w:color="FFFFFF"/>
            </w:tcBorders>
            <w:shd w:val="clear" w:color="auto" w:fill="FCDD9E"/>
            <w:vAlign w:val="center"/>
            <w:hideMark/>
          </w:tcPr>
          <w:p w14:paraId="5D7B91B7"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7.50</w:t>
            </w:r>
          </w:p>
        </w:tc>
        <w:tc>
          <w:tcPr>
            <w:tcW w:w="0" w:type="auto"/>
            <w:tcBorders>
              <w:top w:val="single" w:sz="6" w:space="0" w:color="FFFFFF"/>
              <w:left w:val="single" w:sz="6" w:space="0" w:color="FFFFFF"/>
              <w:bottom w:val="single" w:sz="6" w:space="0" w:color="FFFFFF"/>
              <w:right w:val="single" w:sz="6" w:space="0" w:color="FFFFFF"/>
            </w:tcBorders>
            <w:shd w:val="clear" w:color="auto" w:fill="F2DBDB"/>
            <w:vAlign w:val="center"/>
            <w:hideMark/>
          </w:tcPr>
          <w:p w14:paraId="68920DC4"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15.00</w:t>
            </w:r>
          </w:p>
        </w:tc>
        <w:tc>
          <w:tcPr>
            <w:tcW w:w="0" w:type="auto"/>
            <w:tcBorders>
              <w:top w:val="single" w:sz="6" w:space="0" w:color="FFFFFF"/>
              <w:left w:val="single" w:sz="6" w:space="0" w:color="FFFFFF"/>
              <w:bottom w:val="single" w:sz="6" w:space="0" w:color="FFFFFF"/>
              <w:right w:val="single" w:sz="6" w:space="0" w:color="FFFFFF"/>
            </w:tcBorders>
            <w:shd w:val="clear" w:color="auto" w:fill="F2DBDB"/>
            <w:vAlign w:val="center"/>
            <w:hideMark/>
          </w:tcPr>
          <w:p w14:paraId="462714CF"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22.50</w:t>
            </w:r>
          </w:p>
        </w:tc>
        <w:tc>
          <w:tcPr>
            <w:tcW w:w="0" w:type="auto"/>
            <w:tcBorders>
              <w:top w:val="single" w:sz="6" w:space="0" w:color="FFFFFF"/>
              <w:left w:val="single" w:sz="6" w:space="0" w:color="FFFFFF"/>
              <w:bottom w:val="single" w:sz="6" w:space="0" w:color="FFFFFF"/>
              <w:right w:val="single" w:sz="8" w:space="0" w:color="FFFFFF"/>
            </w:tcBorders>
            <w:shd w:val="clear" w:color="auto" w:fill="F2DBDB"/>
            <w:vAlign w:val="center"/>
            <w:hideMark/>
          </w:tcPr>
          <w:p w14:paraId="645625A9"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30.00</w:t>
            </w:r>
          </w:p>
        </w:tc>
      </w:tr>
      <w:tr w:rsidR="0041570C" w14:paraId="44D027A8" w14:textId="77777777" w:rsidTr="0041570C">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vAlign w:val="center"/>
            <w:hideMark/>
          </w:tcPr>
          <w:p w14:paraId="1F6AEBE7" w14:textId="77777777" w:rsidR="0041570C" w:rsidRDefault="0041570C">
            <w:pPr>
              <w:keepNext/>
              <w:keepLines/>
              <w:spacing w:before="120" w:after="120"/>
              <w:contextualSpacing/>
              <w:rPr>
                <w:rFonts w:cs="Arial"/>
                <w:lang w:eastAsia="en-GB"/>
              </w:rPr>
            </w:pPr>
            <w:r>
              <w:rPr>
                <w:rFonts w:cs="Arial"/>
                <w:lang w:eastAsia="en-GB"/>
              </w:rPr>
              <w:t>271-300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63E8B1E4"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0.80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70FD61C6"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1.70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439CE2FD"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2.50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74BCD9B3"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4.20</w:t>
            </w:r>
          </w:p>
        </w:tc>
        <w:tc>
          <w:tcPr>
            <w:tcW w:w="0" w:type="auto"/>
            <w:tcBorders>
              <w:top w:val="single" w:sz="8" w:space="0" w:color="FFFFFF"/>
              <w:left w:val="single" w:sz="8" w:space="0" w:color="FFFFFF"/>
              <w:bottom w:val="single" w:sz="8" w:space="0" w:color="FFFFFF"/>
              <w:right w:val="single" w:sz="8" w:space="0" w:color="FFFFFF"/>
            </w:tcBorders>
            <w:shd w:val="clear" w:color="auto" w:fill="FCDD9E"/>
            <w:vAlign w:val="center"/>
            <w:hideMark/>
          </w:tcPr>
          <w:p w14:paraId="0BF8A769"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5.80</w:t>
            </w:r>
          </w:p>
        </w:tc>
        <w:tc>
          <w:tcPr>
            <w:tcW w:w="0" w:type="auto"/>
            <w:tcBorders>
              <w:top w:val="single" w:sz="8" w:space="0" w:color="FFFFFF"/>
              <w:left w:val="single" w:sz="8" w:space="0" w:color="FFFFFF"/>
              <w:bottom w:val="single" w:sz="8" w:space="0" w:color="FFFFFF"/>
              <w:right w:val="single" w:sz="8" w:space="0" w:color="FFFFFF"/>
            </w:tcBorders>
            <w:shd w:val="clear" w:color="auto" w:fill="FCDD9E"/>
            <w:vAlign w:val="center"/>
            <w:hideMark/>
          </w:tcPr>
          <w:p w14:paraId="5D3B1287"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8.30</w:t>
            </w:r>
          </w:p>
        </w:tc>
        <w:tc>
          <w:tcPr>
            <w:tcW w:w="0" w:type="auto"/>
            <w:tcBorders>
              <w:top w:val="single" w:sz="8" w:space="0" w:color="FFFFFF"/>
              <w:left w:val="single" w:sz="8" w:space="0" w:color="FFFFFF"/>
              <w:bottom w:val="single" w:sz="8" w:space="0" w:color="FFFFFF"/>
              <w:right w:val="single" w:sz="8" w:space="0" w:color="FFFFFF"/>
            </w:tcBorders>
            <w:shd w:val="clear" w:color="auto" w:fill="F2DBDB"/>
            <w:vAlign w:val="center"/>
            <w:hideMark/>
          </w:tcPr>
          <w:p w14:paraId="3E42A567"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16.70</w:t>
            </w:r>
          </w:p>
        </w:tc>
        <w:tc>
          <w:tcPr>
            <w:tcW w:w="0" w:type="auto"/>
            <w:tcBorders>
              <w:top w:val="single" w:sz="8" w:space="0" w:color="FFFFFF"/>
              <w:left w:val="single" w:sz="8" w:space="0" w:color="FFFFFF"/>
              <w:bottom w:val="single" w:sz="8" w:space="0" w:color="FFFFFF"/>
              <w:right w:val="single" w:sz="8" w:space="0" w:color="FFFFFF"/>
            </w:tcBorders>
            <w:shd w:val="clear" w:color="auto" w:fill="F2DBDB"/>
            <w:vAlign w:val="center"/>
            <w:hideMark/>
          </w:tcPr>
          <w:p w14:paraId="1DD02A86"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25.00</w:t>
            </w:r>
          </w:p>
        </w:tc>
        <w:tc>
          <w:tcPr>
            <w:tcW w:w="0" w:type="auto"/>
            <w:tcBorders>
              <w:top w:val="single" w:sz="8" w:space="0" w:color="FFFFFF"/>
              <w:left w:val="single" w:sz="8" w:space="0" w:color="FFFFFF"/>
              <w:bottom w:val="single" w:sz="8" w:space="0" w:color="FFFFFF"/>
              <w:right w:val="single" w:sz="8" w:space="0" w:color="FFFFFF"/>
            </w:tcBorders>
            <w:shd w:val="clear" w:color="auto" w:fill="F2DBDB"/>
            <w:vAlign w:val="center"/>
            <w:hideMark/>
          </w:tcPr>
          <w:p w14:paraId="55FC22CE"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33.50</w:t>
            </w:r>
          </w:p>
        </w:tc>
      </w:tr>
      <w:tr w:rsidR="0041570C" w14:paraId="3AC4D76D" w14:textId="77777777" w:rsidTr="0041570C">
        <w:trPr>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FFFFFF"/>
            </w:tcBorders>
            <w:shd w:val="clear" w:color="auto" w:fill="95B3D7" w:themeFill="accent1" w:themeFillTint="99"/>
            <w:vAlign w:val="center"/>
            <w:hideMark/>
          </w:tcPr>
          <w:p w14:paraId="008E2450" w14:textId="77777777" w:rsidR="0041570C" w:rsidRDefault="0041570C">
            <w:pPr>
              <w:keepNext/>
              <w:keepLines/>
              <w:spacing w:before="120" w:after="120"/>
              <w:contextualSpacing/>
              <w:rPr>
                <w:rFonts w:cs="Arial"/>
                <w:lang w:eastAsia="en-GB"/>
              </w:rPr>
            </w:pPr>
            <w:r>
              <w:rPr>
                <w:rFonts w:cs="Arial"/>
                <w:lang w:eastAsia="en-GB"/>
              </w:rPr>
              <w:t>301-330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6813C117"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0.90</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58E379C1"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1.85</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29C2C3B8"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2.75</w:t>
            </w:r>
          </w:p>
        </w:tc>
        <w:tc>
          <w:tcPr>
            <w:tcW w:w="0" w:type="auto"/>
            <w:tcBorders>
              <w:top w:val="single" w:sz="6" w:space="0" w:color="FFFFFF"/>
              <w:left w:val="single" w:sz="6" w:space="0" w:color="FFFFFF"/>
              <w:bottom w:val="single" w:sz="6" w:space="0" w:color="FFFFFF"/>
              <w:right w:val="single" w:sz="6" w:space="0" w:color="FFFFFF"/>
            </w:tcBorders>
            <w:shd w:val="clear" w:color="auto" w:fill="D6E3BC"/>
            <w:vAlign w:val="center"/>
            <w:hideMark/>
          </w:tcPr>
          <w:p w14:paraId="2FDB452F"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4.60</w:t>
            </w:r>
          </w:p>
        </w:tc>
        <w:tc>
          <w:tcPr>
            <w:tcW w:w="0" w:type="auto"/>
            <w:tcBorders>
              <w:top w:val="single" w:sz="6" w:space="0" w:color="FFFFFF"/>
              <w:left w:val="single" w:sz="6" w:space="0" w:color="FFFFFF"/>
              <w:bottom w:val="single" w:sz="6" w:space="0" w:color="FFFFFF"/>
              <w:right w:val="single" w:sz="6" w:space="0" w:color="FFFFFF"/>
            </w:tcBorders>
            <w:shd w:val="clear" w:color="auto" w:fill="FCDD9E"/>
            <w:vAlign w:val="center"/>
            <w:hideMark/>
          </w:tcPr>
          <w:p w14:paraId="09F9DFAA"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6.50</w:t>
            </w:r>
          </w:p>
        </w:tc>
        <w:tc>
          <w:tcPr>
            <w:tcW w:w="0" w:type="auto"/>
            <w:tcBorders>
              <w:top w:val="single" w:sz="6" w:space="0" w:color="FFFFFF"/>
              <w:left w:val="single" w:sz="6" w:space="0" w:color="FFFFFF"/>
              <w:bottom w:val="single" w:sz="6" w:space="0" w:color="FFFFFF"/>
              <w:right w:val="single" w:sz="6" w:space="0" w:color="FFFFFF"/>
            </w:tcBorders>
            <w:shd w:val="clear" w:color="auto" w:fill="FCDD9E"/>
            <w:vAlign w:val="center"/>
            <w:hideMark/>
          </w:tcPr>
          <w:p w14:paraId="52062A17"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9.20</w:t>
            </w:r>
          </w:p>
        </w:tc>
        <w:tc>
          <w:tcPr>
            <w:tcW w:w="0" w:type="auto"/>
            <w:tcBorders>
              <w:top w:val="single" w:sz="6" w:space="0" w:color="FFFFFF"/>
              <w:left w:val="single" w:sz="6" w:space="0" w:color="FFFFFF"/>
              <w:bottom w:val="single" w:sz="6" w:space="0" w:color="FFFFFF"/>
              <w:right w:val="single" w:sz="6" w:space="0" w:color="FFFFFF"/>
            </w:tcBorders>
            <w:shd w:val="clear" w:color="auto" w:fill="F2DBDB"/>
            <w:vAlign w:val="center"/>
            <w:hideMark/>
          </w:tcPr>
          <w:p w14:paraId="51898A13"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18.50</w:t>
            </w:r>
          </w:p>
        </w:tc>
        <w:tc>
          <w:tcPr>
            <w:tcW w:w="0" w:type="auto"/>
            <w:tcBorders>
              <w:top w:val="single" w:sz="6" w:space="0" w:color="FFFFFF"/>
              <w:left w:val="single" w:sz="6" w:space="0" w:color="FFFFFF"/>
              <w:bottom w:val="single" w:sz="6" w:space="0" w:color="FFFFFF"/>
              <w:right w:val="single" w:sz="6" w:space="0" w:color="FFFFFF"/>
            </w:tcBorders>
            <w:shd w:val="clear" w:color="auto" w:fill="F2DBDB"/>
            <w:vAlign w:val="center"/>
            <w:hideMark/>
          </w:tcPr>
          <w:p w14:paraId="2482CCF3"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27.50</w:t>
            </w:r>
          </w:p>
        </w:tc>
        <w:tc>
          <w:tcPr>
            <w:tcW w:w="0" w:type="auto"/>
            <w:tcBorders>
              <w:top w:val="single" w:sz="6" w:space="0" w:color="FFFFFF"/>
              <w:left w:val="single" w:sz="6" w:space="0" w:color="FFFFFF"/>
              <w:bottom w:val="single" w:sz="6" w:space="0" w:color="FFFFFF"/>
              <w:right w:val="single" w:sz="8" w:space="0" w:color="FFFFFF"/>
            </w:tcBorders>
            <w:shd w:val="clear" w:color="auto" w:fill="F2DBDB"/>
            <w:vAlign w:val="center"/>
            <w:hideMark/>
          </w:tcPr>
          <w:p w14:paraId="48FD5C25"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37.00</w:t>
            </w:r>
          </w:p>
        </w:tc>
      </w:tr>
      <w:tr w:rsidR="0041570C" w14:paraId="3F6976C6" w14:textId="77777777" w:rsidTr="0041570C">
        <w:trPr>
          <w:cantSplit/>
        </w:trPr>
        <w:tc>
          <w:tcPr>
            <w:cnfStyle w:val="001000000000" w:firstRow="0" w:lastRow="0" w:firstColumn="1" w:lastColumn="0" w:oddVBand="0" w:evenVBand="0" w:oddHBand="0" w:evenHBand="0" w:firstRowFirstColumn="0" w:firstRowLastColumn="0" w:lastRowFirstColumn="0" w:lastRowLastColumn="0"/>
            <w:tcW w:w="0" w:type="auto"/>
            <w:shd w:val="clear" w:color="auto" w:fill="95B3D7" w:themeFill="accent1" w:themeFillTint="99"/>
            <w:vAlign w:val="center"/>
            <w:hideMark/>
          </w:tcPr>
          <w:p w14:paraId="2C893E3A" w14:textId="77777777" w:rsidR="0041570C" w:rsidRDefault="0041570C">
            <w:pPr>
              <w:keepNext/>
              <w:keepLines/>
              <w:spacing w:before="120" w:after="120"/>
              <w:contextualSpacing/>
              <w:rPr>
                <w:rFonts w:cs="Arial"/>
                <w:lang w:eastAsia="en-GB"/>
              </w:rPr>
            </w:pPr>
            <w:r>
              <w:rPr>
                <w:rFonts w:cs="Arial"/>
                <w:lang w:eastAsia="en-GB"/>
              </w:rPr>
              <w:t>331-397</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2824F171"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1.00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2C4F42A2"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2.00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77BC1EBC"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3.00</w:t>
            </w:r>
          </w:p>
        </w:tc>
        <w:tc>
          <w:tcPr>
            <w:tcW w:w="0" w:type="auto"/>
            <w:tcBorders>
              <w:top w:val="single" w:sz="8" w:space="0" w:color="FFFFFF"/>
              <w:left w:val="single" w:sz="8" w:space="0" w:color="FFFFFF"/>
              <w:bottom w:val="single" w:sz="8" w:space="0" w:color="FFFFFF"/>
              <w:right w:val="single" w:sz="8" w:space="0" w:color="FFFFFF"/>
            </w:tcBorders>
            <w:shd w:val="clear" w:color="auto" w:fill="D6E3BC"/>
            <w:vAlign w:val="center"/>
            <w:hideMark/>
          </w:tcPr>
          <w:p w14:paraId="06F402FE"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5.00</w:t>
            </w:r>
          </w:p>
        </w:tc>
        <w:tc>
          <w:tcPr>
            <w:tcW w:w="0" w:type="auto"/>
            <w:tcBorders>
              <w:top w:val="single" w:sz="8" w:space="0" w:color="FFFFFF"/>
              <w:left w:val="single" w:sz="8" w:space="0" w:color="FFFFFF"/>
              <w:bottom w:val="single" w:sz="8" w:space="0" w:color="FFFFFF"/>
              <w:right w:val="single" w:sz="8" w:space="0" w:color="FFFFFF"/>
            </w:tcBorders>
            <w:shd w:val="clear" w:color="auto" w:fill="FCDD9E"/>
            <w:vAlign w:val="center"/>
            <w:hideMark/>
          </w:tcPr>
          <w:p w14:paraId="5A2384F1"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7.00</w:t>
            </w:r>
          </w:p>
        </w:tc>
        <w:tc>
          <w:tcPr>
            <w:tcW w:w="0" w:type="auto"/>
            <w:tcBorders>
              <w:top w:val="single" w:sz="8" w:space="0" w:color="FFFFFF"/>
              <w:left w:val="single" w:sz="8" w:space="0" w:color="FFFFFF"/>
              <w:bottom w:val="single" w:sz="8" w:space="0" w:color="FFFFFF"/>
              <w:right w:val="single" w:sz="8" w:space="0" w:color="FFFFFF"/>
            </w:tcBorders>
            <w:shd w:val="clear" w:color="auto" w:fill="FCDD9E"/>
            <w:vAlign w:val="center"/>
            <w:hideMark/>
          </w:tcPr>
          <w:p w14:paraId="1FAFF402"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10.00</w:t>
            </w:r>
          </w:p>
        </w:tc>
        <w:tc>
          <w:tcPr>
            <w:tcW w:w="0" w:type="auto"/>
            <w:tcBorders>
              <w:top w:val="single" w:sz="8" w:space="0" w:color="FFFFFF"/>
              <w:left w:val="single" w:sz="8" w:space="0" w:color="FFFFFF"/>
              <w:bottom w:val="single" w:sz="8" w:space="0" w:color="FFFFFF"/>
              <w:right w:val="single" w:sz="8" w:space="0" w:color="FFFFFF"/>
            </w:tcBorders>
            <w:shd w:val="clear" w:color="auto" w:fill="F2DBDB"/>
            <w:vAlign w:val="center"/>
            <w:hideMark/>
          </w:tcPr>
          <w:p w14:paraId="3C30BE21"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20.00</w:t>
            </w:r>
          </w:p>
        </w:tc>
        <w:tc>
          <w:tcPr>
            <w:tcW w:w="0" w:type="auto"/>
            <w:tcBorders>
              <w:top w:val="single" w:sz="8" w:space="0" w:color="FFFFFF"/>
              <w:left w:val="single" w:sz="8" w:space="0" w:color="FFFFFF"/>
              <w:bottom w:val="single" w:sz="8" w:space="0" w:color="FFFFFF"/>
              <w:right w:val="single" w:sz="8" w:space="0" w:color="FFFFFF"/>
            </w:tcBorders>
            <w:shd w:val="clear" w:color="auto" w:fill="F2DBDB"/>
            <w:vAlign w:val="center"/>
            <w:hideMark/>
          </w:tcPr>
          <w:p w14:paraId="34FAC3D1"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30.00</w:t>
            </w:r>
          </w:p>
        </w:tc>
        <w:tc>
          <w:tcPr>
            <w:tcW w:w="0" w:type="auto"/>
            <w:tcBorders>
              <w:top w:val="single" w:sz="8" w:space="0" w:color="FFFFFF"/>
              <w:left w:val="single" w:sz="8" w:space="0" w:color="FFFFFF"/>
              <w:bottom w:val="single" w:sz="8" w:space="0" w:color="FFFFFF"/>
              <w:right w:val="single" w:sz="8" w:space="0" w:color="FFFFFF"/>
            </w:tcBorders>
            <w:shd w:val="clear" w:color="auto" w:fill="F2DBDB"/>
            <w:vAlign w:val="center"/>
            <w:hideMark/>
          </w:tcPr>
          <w:p w14:paraId="1336FBE0"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40.00</w:t>
            </w:r>
          </w:p>
        </w:tc>
      </w:tr>
      <w:tr w:rsidR="0041570C" w14:paraId="4078F028" w14:textId="77777777" w:rsidTr="0041570C">
        <w:trPr>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FFFFFF"/>
              <w:bottom w:val="single" w:sz="8" w:space="0" w:color="FFFFFF"/>
            </w:tcBorders>
            <w:shd w:val="clear" w:color="auto" w:fill="95B3D7" w:themeFill="accent1" w:themeFillTint="99"/>
            <w:vAlign w:val="center"/>
            <w:hideMark/>
          </w:tcPr>
          <w:p w14:paraId="4BFE5ED3" w14:textId="77777777" w:rsidR="0041570C" w:rsidRDefault="0041570C">
            <w:pPr>
              <w:keepNext/>
              <w:keepLines/>
              <w:spacing w:before="120" w:after="120"/>
              <w:contextualSpacing/>
              <w:rPr>
                <w:rFonts w:cs="Arial"/>
                <w:lang w:eastAsia="en-GB"/>
              </w:rPr>
            </w:pPr>
            <w:r>
              <w:rPr>
                <w:rFonts w:cs="Arial"/>
                <w:lang w:eastAsia="en-GB"/>
              </w:rPr>
              <w:t>398-730</w:t>
            </w:r>
          </w:p>
        </w:tc>
        <w:tc>
          <w:tcPr>
            <w:tcW w:w="0" w:type="auto"/>
            <w:tcBorders>
              <w:top w:val="single" w:sz="6" w:space="0" w:color="FFFFFF"/>
              <w:left w:val="single" w:sz="6" w:space="0" w:color="FFFFFF"/>
              <w:bottom w:val="single" w:sz="8" w:space="0" w:color="FFFFFF"/>
              <w:right w:val="single" w:sz="6" w:space="0" w:color="FFFFFF"/>
            </w:tcBorders>
            <w:shd w:val="clear" w:color="auto" w:fill="D6E3BC"/>
            <w:vAlign w:val="center"/>
            <w:hideMark/>
          </w:tcPr>
          <w:p w14:paraId="788896C5"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4F6228"/>
                <w:lang w:eastAsia="en-GB"/>
              </w:rPr>
            </w:pPr>
            <w:r>
              <w:rPr>
                <w:rFonts w:cs="Arial"/>
                <w:bCs/>
                <w:color w:val="4F6228"/>
                <w:lang w:eastAsia="en-GB"/>
              </w:rPr>
              <w:t>2.70</w:t>
            </w:r>
          </w:p>
        </w:tc>
        <w:tc>
          <w:tcPr>
            <w:tcW w:w="0" w:type="auto"/>
            <w:tcBorders>
              <w:top w:val="single" w:sz="6" w:space="0" w:color="FFFFFF"/>
              <w:left w:val="single" w:sz="6" w:space="0" w:color="FFFFFF"/>
              <w:bottom w:val="single" w:sz="8" w:space="0" w:color="FFFFFF"/>
              <w:right w:val="single" w:sz="6" w:space="0" w:color="FFFFFF"/>
            </w:tcBorders>
            <w:shd w:val="clear" w:color="auto" w:fill="FCDD9E"/>
            <w:vAlign w:val="center"/>
            <w:hideMark/>
          </w:tcPr>
          <w:p w14:paraId="2B0D06C4"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5.30</w:t>
            </w:r>
          </w:p>
        </w:tc>
        <w:tc>
          <w:tcPr>
            <w:tcW w:w="0" w:type="auto"/>
            <w:tcBorders>
              <w:top w:val="single" w:sz="6" w:space="0" w:color="FFFFFF"/>
              <w:left w:val="single" w:sz="6" w:space="0" w:color="FFFFFF"/>
              <w:bottom w:val="single" w:sz="8" w:space="0" w:color="FFFFFF"/>
              <w:right w:val="single" w:sz="6" w:space="0" w:color="FFFFFF"/>
            </w:tcBorders>
            <w:shd w:val="clear" w:color="auto" w:fill="FCDD9E"/>
            <w:vAlign w:val="center"/>
            <w:hideMark/>
          </w:tcPr>
          <w:p w14:paraId="2DC96924"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984806"/>
                <w:lang w:eastAsia="en-GB"/>
              </w:rPr>
            </w:pPr>
            <w:r>
              <w:rPr>
                <w:rFonts w:cs="Arial"/>
                <w:bCs/>
                <w:color w:val="984806"/>
                <w:lang w:eastAsia="en-GB"/>
              </w:rPr>
              <w:t>8.00</w:t>
            </w:r>
          </w:p>
        </w:tc>
        <w:tc>
          <w:tcPr>
            <w:tcW w:w="0" w:type="auto"/>
            <w:tcBorders>
              <w:top w:val="single" w:sz="6" w:space="0" w:color="FFFFFF"/>
              <w:left w:val="single" w:sz="6" w:space="0" w:color="FFFFFF"/>
              <w:bottom w:val="single" w:sz="8" w:space="0" w:color="FFFFFF"/>
              <w:right w:val="single" w:sz="6" w:space="0" w:color="FFFFFF"/>
            </w:tcBorders>
            <w:shd w:val="clear" w:color="auto" w:fill="F2DBDB"/>
            <w:vAlign w:val="center"/>
            <w:hideMark/>
          </w:tcPr>
          <w:p w14:paraId="22D35F0D"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13.00</w:t>
            </w:r>
          </w:p>
        </w:tc>
        <w:tc>
          <w:tcPr>
            <w:tcW w:w="0" w:type="auto"/>
            <w:tcBorders>
              <w:top w:val="single" w:sz="6" w:space="0" w:color="FFFFFF"/>
              <w:left w:val="single" w:sz="6" w:space="0" w:color="FFFFFF"/>
              <w:bottom w:val="single" w:sz="8" w:space="0" w:color="FFFFFF"/>
              <w:right w:val="single" w:sz="6" w:space="0" w:color="FFFFFF"/>
            </w:tcBorders>
            <w:shd w:val="clear" w:color="auto" w:fill="F2DBDB"/>
            <w:vAlign w:val="center"/>
            <w:hideMark/>
          </w:tcPr>
          <w:p w14:paraId="21F22874"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19.00</w:t>
            </w:r>
          </w:p>
        </w:tc>
        <w:tc>
          <w:tcPr>
            <w:tcW w:w="0" w:type="auto"/>
            <w:tcBorders>
              <w:top w:val="single" w:sz="6" w:space="0" w:color="FFFFFF"/>
              <w:left w:val="single" w:sz="6" w:space="0" w:color="FFFFFF"/>
              <w:bottom w:val="single" w:sz="8" w:space="0" w:color="FFFFFF"/>
              <w:right w:val="single" w:sz="6" w:space="0" w:color="FFFFFF"/>
            </w:tcBorders>
            <w:shd w:val="clear" w:color="auto" w:fill="F2DBDB"/>
            <w:vAlign w:val="center"/>
            <w:hideMark/>
          </w:tcPr>
          <w:p w14:paraId="62069C7E"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27.00</w:t>
            </w:r>
          </w:p>
        </w:tc>
        <w:tc>
          <w:tcPr>
            <w:tcW w:w="0" w:type="auto"/>
            <w:tcBorders>
              <w:top w:val="single" w:sz="6" w:space="0" w:color="FFFFFF"/>
              <w:left w:val="single" w:sz="6" w:space="0" w:color="FFFFFF"/>
              <w:bottom w:val="single" w:sz="8" w:space="0" w:color="FFFFFF"/>
              <w:right w:val="single" w:sz="6" w:space="0" w:color="FFFFFF"/>
            </w:tcBorders>
            <w:shd w:val="clear" w:color="auto" w:fill="F2DBDB"/>
            <w:vAlign w:val="center"/>
            <w:hideMark/>
          </w:tcPr>
          <w:p w14:paraId="32AE6A03"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43.00</w:t>
            </w:r>
          </w:p>
        </w:tc>
        <w:tc>
          <w:tcPr>
            <w:tcW w:w="0" w:type="auto"/>
            <w:tcBorders>
              <w:top w:val="single" w:sz="6" w:space="0" w:color="FFFFFF"/>
              <w:left w:val="single" w:sz="6" w:space="0" w:color="FFFFFF"/>
              <w:bottom w:val="single" w:sz="8" w:space="0" w:color="FFFFFF"/>
              <w:right w:val="single" w:sz="6" w:space="0" w:color="FFFFFF"/>
            </w:tcBorders>
            <w:shd w:val="clear" w:color="auto" w:fill="F2DBDB"/>
            <w:vAlign w:val="center"/>
            <w:hideMark/>
          </w:tcPr>
          <w:p w14:paraId="6825BF91"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69.00</w:t>
            </w:r>
          </w:p>
        </w:tc>
        <w:tc>
          <w:tcPr>
            <w:tcW w:w="0" w:type="auto"/>
            <w:tcBorders>
              <w:top w:val="single" w:sz="6" w:space="0" w:color="FFFFFF"/>
              <w:left w:val="single" w:sz="6" w:space="0" w:color="FFFFFF"/>
              <w:bottom w:val="single" w:sz="8" w:space="0" w:color="FFFFFF"/>
              <w:right w:val="single" w:sz="8" w:space="0" w:color="FFFFFF"/>
            </w:tcBorders>
            <w:shd w:val="clear" w:color="auto" w:fill="F2DBDB"/>
            <w:vAlign w:val="center"/>
            <w:hideMark/>
          </w:tcPr>
          <w:p w14:paraId="0B330CA6" w14:textId="77777777" w:rsidR="0041570C" w:rsidRDefault="0041570C">
            <w:pPr>
              <w:keepNext/>
              <w:keepLines/>
              <w:spacing w:before="120" w:after="120"/>
              <w:contextualSpacing/>
              <w:jc w:val="right"/>
              <w:cnfStyle w:val="000000000000" w:firstRow="0" w:lastRow="0" w:firstColumn="0" w:lastColumn="0" w:oddVBand="0" w:evenVBand="0" w:oddHBand="0" w:evenHBand="0" w:firstRowFirstColumn="0" w:firstRowLastColumn="0" w:lastRowFirstColumn="0" w:lastRowLastColumn="0"/>
              <w:rPr>
                <w:rFonts w:cs="Arial"/>
                <w:bCs/>
                <w:color w:val="632423"/>
                <w:lang w:eastAsia="en-GB"/>
              </w:rPr>
            </w:pPr>
            <w:r>
              <w:rPr>
                <w:rFonts w:cs="Arial"/>
                <w:bCs/>
                <w:color w:val="632423"/>
                <w:lang w:eastAsia="en-GB"/>
              </w:rPr>
              <w:t>106.00</w:t>
            </w:r>
          </w:p>
        </w:tc>
      </w:tr>
    </w:tbl>
    <w:p w14:paraId="7AA1FCAE" w14:textId="77777777" w:rsidR="0041570C" w:rsidRDefault="0041570C" w:rsidP="0041570C">
      <w:pPr>
        <w:rPr>
          <w:rFonts w:cs="Arial"/>
          <w:szCs w:val="24"/>
        </w:rPr>
      </w:pPr>
    </w:p>
    <w:p w14:paraId="33678A5C" w14:textId="77777777" w:rsidR="0041570C" w:rsidRDefault="0041570C" w:rsidP="0041570C">
      <w:pPr>
        <w:rPr>
          <w:rFonts w:cs="Arial"/>
          <w:szCs w:val="24"/>
        </w:rPr>
      </w:pPr>
      <w:r>
        <w:rPr>
          <w:rFonts w:cs="Arial"/>
          <w:szCs w:val="24"/>
        </w:rPr>
        <w:t>For the purposes of the above, UK Government (including the Debt Management Account Deposit Facility, Local Authorities and bodies eligible for PWLB finance) securities are treated as AAA, reflecting the UK’s highly centralised and interdependent public finance regime.</w:t>
      </w:r>
    </w:p>
    <w:p w14:paraId="2633BBAC" w14:textId="77777777" w:rsidR="0041570C" w:rsidRDefault="0041570C" w:rsidP="0041570C">
      <w:pPr>
        <w:spacing w:before="120" w:after="240"/>
        <w:contextualSpacing/>
        <w:rPr>
          <w:rFonts w:cs="Arial"/>
          <w:szCs w:val="24"/>
        </w:rPr>
      </w:pPr>
      <w:r>
        <w:rPr>
          <w:rFonts w:cs="Arial"/>
          <w:szCs w:val="24"/>
        </w:rPr>
        <w:t>Enhanced limits apply for these counterparties and institutions covered by Link Asset Services’ Colour Banding Methodology:</w:t>
      </w:r>
    </w:p>
    <w:p w14:paraId="29B37D91" w14:textId="77777777" w:rsidR="0041570C" w:rsidRDefault="0041570C" w:rsidP="0041570C">
      <w:pPr>
        <w:spacing w:before="120" w:after="240"/>
        <w:contextualSpacing/>
        <w:rPr>
          <w:rFonts w:cs="Arial"/>
          <w:szCs w:val="24"/>
        </w:rPr>
      </w:pPr>
    </w:p>
    <w:p w14:paraId="65E4F379" w14:textId="77777777" w:rsidR="0041570C" w:rsidRDefault="0041570C" w:rsidP="0041570C">
      <w:pPr>
        <w:spacing w:before="120" w:after="240"/>
        <w:contextualSpacing/>
        <w:rPr>
          <w:rFonts w:cs="Arial"/>
          <w:b/>
          <w:bCs/>
          <w:szCs w:val="24"/>
        </w:rPr>
      </w:pPr>
      <w:r>
        <w:rPr>
          <w:rFonts w:cs="Arial"/>
          <w:b/>
          <w:bCs/>
          <w:szCs w:val="24"/>
        </w:rPr>
        <w:t>Table 5 – Concentration Limits</w:t>
      </w:r>
    </w:p>
    <w:p w14:paraId="1B5D53F5" w14:textId="77777777" w:rsidR="0041570C" w:rsidRDefault="0041570C" w:rsidP="0041570C">
      <w:pPr>
        <w:spacing w:before="120" w:after="240"/>
        <w:contextualSpacing/>
        <w:rPr>
          <w:rFonts w:cs="Arial"/>
          <w:szCs w:val="24"/>
        </w:rPr>
      </w:pPr>
    </w:p>
    <w:tbl>
      <w:tblPr>
        <w:tblStyle w:val="GridTable6Colorful"/>
        <w:tblW w:w="5000" w:type="pct"/>
        <w:tblInd w:w="0" w:type="dxa"/>
        <w:tblLook w:val="06A0" w:firstRow="1" w:lastRow="0" w:firstColumn="1" w:lastColumn="0" w:noHBand="1" w:noVBand="1"/>
      </w:tblPr>
      <w:tblGrid>
        <w:gridCol w:w="2769"/>
        <w:gridCol w:w="2769"/>
        <w:gridCol w:w="2767"/>
      </w:tblGrid>
      <w:tr w:rsidR="0041570C" w14:paraId="238F5402" w14:textId="77777777" w:rsidTr="0041570C">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666666" w:themeColor="text1" w:themeTint="99"/>
              <w:left w:val="single" w:sz="4" w:space="0" w:color="666666" w:themeColor="text1" w:themeTint="99"/>
              <w:right w:val="single" w:sz="4" w:space="0" w:color="666666" w:themeColor="text1" w:themeTint="99"/>
            </w:tcBorders>
            <w:noWrap/>
            <w:hideMark/>
          </w:tcPr>
          <w:p w14:paraId="666AA02A" w14:textId="77777777" w:rsidR="0041570C" w:rsidRDefault="0041570C">
            <w:pPr>
              <w:keepNext/>
              <w:keepLines/>
              <w:spacing w:before="120" w:after="120"/>
              <w:contextualSpacing/>
              <w:rPr>
                <w:rFonts w:cs="Arial"/>
                <w:sz w:val="22"/>
              </w:rPr>
            </w:pPr>
            <w:r>
              <w:rPr>
                <w:rFonts w:cs="Arial"/>
              </w:rPr>
              <w:t>Cash Exposure  Limits – applied to individual counterparties</w:t>
            </w:r>
          </w:p>
        </w:tc>
      </w:tr>
      <w:tr w:rsidR="0041570C" w14:paraId="7BC03189" w14:textId="77777777" w:rsidTr="0041570C">
        <w:trPr>
          <w:trHeight w:val="33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4C96A805" w14:textId="77777777" w:rsidR="0041570C" w:rsidRDefault="0041570C">
            <w:pPr>
              <w:keepNext/>
              <w:keepLines/>
              <w:spacing w:before="120" w:after="120"/>
              <w:contextualSpacing/>
              <w:rPr>
                <w:rFonts w:cs="Arial"/>
              </w:rPr>
            </w:pPr>
            <w:r>
              <w:rPr>
                <w:rFonts w:cs="Arial"/>
              </w:rPr>
              <w:t>Band</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4AB892BF" w14:textId="77777777" w:rsidR="0041570C" w:rsidRDefault="0041570C">
            <w:pPr>
              <w:keepNext/>
              <w:keepLines/>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Overnight</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25E27571" w14:textId="77777777" w:rsidR="0041570C" w:rsidRDefault="0041570C">
            <w:pPr>
              <w:keepNext/>
              <w:keepLines/>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&gt; 1 day</w:t>
            </w:r>
          </w:p>
        </w:tc>
      </w:tr>
      <w:tr w:rsidR="0041570C" w14:paraId="18A05CCF" w14:textId="77777777" w:rsidTr="0041570C">
        <w:trPr>
          <w:trHeight w:val="315"/>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17394B89" w14:textId="77777777" w:rsidR="0041570C" w:rsidRDefault="0041570C">
            <w:pPr>
              <w:keepNext/>
              <w:keepLines/>
              <w:spacing w:before="120" w:after="120"/>
              <w:contextualSpacing/>
              <w:rPr>
                <w:rFonts w:cs="Arial"/>
              </w:rPr>
            </w:pPr>
            <w:r>
              <w:rPr>
                <w:rFonts w:cs="Arial"/>
              </w:rPr>
              <w:t>UK Sovereign</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0C137681" w14:textId="77777777" w:rsidR="0041570C" w:rsidRDefault="0041570C">
            <w:pPr>
              <w:keepNext/>
              <w:keepLines/>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61B5DB06" w14:textId="77777777" w:rsidR="0041570C" w:rsidRDefault="0041570C">
            <w:pPr>
              <w:keepNext/>
              <w:keepLines/>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r>
      <w:tr w:rsidR="0041570C" w14:paraId="59BAA0AC" w14:textId="77777777" w:rsidTr="0041570C">
        <w:trPr>
          <w:trHeight w:val="315"/>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5B152CB1" w14:textId="77777777" w:rsidR="0041570C" w:rsidRDefault="0041570C">
            <w:pPr>
              <w:keepNext/>
              <w:keepLines/>
              <w:spacing w:before="120" w:after="120"/>
              <w:contextualSpacing/>
              <w:rPr>
                <w:rFonts w:cs="Arial"/>
              </w:rPr>
            </w:pPr>
            <w:r>
              <w:rPr>
                <w:rFonts w:cs="Arial"/>
              </w:rPr>
              <w:t>Yellow</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566064AE" w14:textId="77777777" w:rsidR="0041570C" w:rsidRDefault="0041570C">
            <w:pPr>
              <w:keepNext/>
              <w:keepLines/>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4B035402" w14:textId="77777777" w:rsidR="0041570C" w:rsidRDefault="0041570C">
            <w:pPr>
              <w:keepNext/>
              <w:keepLines/>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25%</w:t>
            </w:r>
          </w:p>
        </w:tc>
      </w:tr>
      <w:tr w:rsidR="0041570C" w14:paraId="440AD95F" w14:textId="77777777" w:rsidTr="0041570C">
        <w:trPr>
          <w:trHeight w:val="315"/>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67B2DF6B" w14:textId="77777777" w:rsidR="0041570C" w:rsidRDefault="0041570C">
            <w:pPr>
              <w:keepNext/>
              <w:keepLines/>
              <w:spacing w:before="120" w:after="120"/>
              <w:contextualSpacing/>
              <w:rPr>
                <w:rFonts w:cs="Arial"/>
              </w:rPr>
            </w:pPr>
            <w:r>
              <w:rPr>
                <w:rFonts w:cs="Arial"/>
              </w:rPr>
              <w:t>Purple</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5431EC27" w14:textId="77777777" w:rsidR="0041570C" w:rsidRDefault="0041570C">
            <w:pPr>
              <w:keepNext/>
              <w:keepLines/>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50%</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1A3D7DAB" w14:textId="77777777" w:rsidR="0041570C" w:rsidRDefault="0041570C">
            <w:pPr>
              <w:keepNext/>
              <w:keepLines/>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20%</w:t>
            </w:r>
          </w:p>
        </w:tc>
      </w:tr>
      <w:tr w:rsidR="0041570C" w14:paraId="27DFC42D" w14:textId="77777777" w:rsidTr="0041570C">
        <w:trPr>
          <w:trHeight w:val="315"/>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6F41D997" w14:textId="77777777" w:rsidR="0041570C" w:rsidRDefault="0041570C">
            <w:pPr>
              <w:keepNext/>
              <w:keepLines/>
              <w:spacing w:before="120" w:after="120"/>
              <w:contextualSpacing/>
              <w:rPr>
                <w:rFonts w:cs="Arial"/>
              </w:rPr>
            </w:pPr>
            <w:r>
              <w:rPr>
                <w:rFonts w:cs="Arial"/>
              </w:rPr>
              <w:t>Orange</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4C456C04" w14:textId="77777777" w:rsidR="0041570C" w:rsidRDefault="0041570C">
            <w:pPr>
              <w:keepNext/>
              <w:keepLines/>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25%</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1E4DC087" w14:textId="77777777" w:rsidR="0041570C" w:rsidRDefault="0041570C">
            <w:pPr>
              <w:keepNext/>
              <w:keepLines/>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15%</w:t>
            </w:r>
          </w:p>
        </w:tc>
      </w:tr>
      <w:tr w:rsidR="0041570C" w14:paraId="33DC6DEC" w14:textId="77777777" w:rsidTr="0041570C">
        <w:trPr>
          <w:trHeight w:val="315"/>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4E75B09D" w14:textId="77777777" w:rsidR="0041570C" w:rsidRDefault="0041570C">
            <w:pPr>
              <w:keepNext/>
              <w:keepLines/>
              <w:spacing w:before="120" w:after="120"/>
              <w:contextualSpacing/>
              <w:rPr>
                <w:rFonts w:cs="Arial"/>
              </w:rPr>
            </w:pPr>
            <w:r>
              <w:rPr>
                <w:rFonts w:cs="Arial"/>
              </w:rPr>
              <w:t>Red</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14054EB4" w14:textId="77777777" w:rsidR="0041570C" w:rsidRDefault="0041570C">
            <w:pPr>
              <w:keepNext/>
              <w:keepLines/>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25%</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2AA916CD" w14:textId="77777777" w:rsidR="0041570C" w:rsidRDefault="0041570C">
            <w:pPr>
              <w:keepNext/>
              <w:keepLines/>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41570C" w14:paraId="051429A5" w14:textId="77777777" w:rsidTr="0041570C">
        <w:trPr>
          <w:trHeight w:val="315"/>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2A71BA19" w14:textId="77777777" w:rsidR="0041570C" w:rsidRDefault="0041570C">
            <w:pPr>
              <w:keepNext/>
              <w:keepLines/>
              <w:spacing w:before="120" w:after="120"/>
              <w:contextualSpacing/>
              <w:rPr>
                <w:rFonts w:cs="Arial"/>
              </w:rPr>
            </w:pPr>
            <w:r>
              <w:rPr>
                <w:rFonts w:cs="Arial"/>
              </w:rPr>
              <w:t>Green</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67FD0FDF" w14:textId="77777777" w:rsidR="0041570C" w:rsidRDefault="0041570C">
            <w:pPr>
              <w:keepNext/>
              <w:keepLines/>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7256C017" w14:textId="77777777" w:rsidR="0041570C" w:rsidRDefault="0041570C">
            <w:pPr>
              <w:keepNext/>
              <w:keepLines/>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w:t>
            </w:r>
          </w:p>
        </w:tc>
      </w:tr>
      <w:tr w:rsidR="0041570C" w14:paraId="52CAC159" w14:textId="77777777" w:rsidTr="0041570C">
        <w:trPr>
          <w:trHeight w:val="33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718E5902" w14:textId="77777777" w:rsidR="0041570C" w:rsidRDefault="0041570C">
            <w:pPr>
              <w:keepNext/>
              <w:keepLines/>
              <w:spacing w:before="120" w:after="120"/>
              <w:contextualSpacing/>
              <w:rPr>
                <w:rFonts w:cs="Arial"/>
              </w:rPr>
            </w:pPr>
            <w:r>
              <w:rPr>
                <w:rFonts w:cs="Arial"/>
              </w:rPr>
              <w:t>No Colour</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7CF99929" w14:textId="77777777" w:rsidR="0041570C" w:rsidRDefault="0041570C">
            <w:pPr>
              <w:keepNext/>
              <w:keepLines/>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w:t>
            </w:r>
          </w:p>
        </w:tc>
        <w:tc>
          <w:tcPr>
            <w:tcW w:w="166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hideMark/>
          </w:tcPr>
          <w:p w14:paraId="0E75A86B" w14:textId="77777777" w:rsidR="0041570C" w:rsidRDefault="0041570C">
            <w:pPr>
              <w:keepNext/>
              <w:keepLines/>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5%</w:t>
            </w:r>
          </w:p>
        </w:tc>
      </w:tr>
    </w:tbl>
    <w:p w14:paraId="4768612D" w14:textId="77777777" w:rsidR="0041570C" w:rsidRDefault="0041570C" w:rsidP="0041570C">
      <w:pPr>
        <w:pStyle w:val="NoSpacing"/>
      </w:pPr>
    </w:p>
    <w:p w14:paraId="0A64E021" w14:textId="77777777" w:rsidR="0041570C" w:rsidRDefault="0041570C" w:rsidP="0041570C">
      <w:pPr>
        <w:rPr>
          <w:rFonts w:cs="Arial"/>
          <w:szCs w:val="24"/>
        </w:rPr>
      </w:pPr>
      <w:r>
        <w:rPr>
          <w:rFonts w:cs="Arial"/>
          <w:szCs w:val="24"/>
        </w:rPr>
        <w:lastRenderedPageBreak/>
        <w:t>The Bands above are calculated based on a range of credit ratings data, including published rating Watches and Outlooks.</w:t>
      </w:r>
    </w:p>
    <w:p w14:paraId="5AF7113A" w14:textId="77777777" w:rsidR="0041570C" w:rsidRDefault="0041570C" w:rsidP="0041570C">
      <w:pPr>
        <w:rPr>
          <w:rFonts w:cs="Arial"/>
          <w:szCs w:val="24"/>
        </w:rPr>
      </w:pPr>
      <w:r>
        <w:rPr>
          <w:rFonts w:cs="Arial"/>
          <w:szCs w:val="24"/>
        </w:rPr>
        <w:t>The Council’s own bank has an emergency overnight limit of 100%, to allow for unexpected payment events.</w:t>
      </w:r>
    </w:p>
    <w:p w14:paraId="6BC36C25" w14:textId="47F3CE56" w:rsidR="0041570C" w:rsidRDefault="0041570C" w:rsidP="0041570C">
      <w:pPr>
        <w:rPr>
          <w:rFonts w:cs="Arial"/>
          <w:b/>
          <w:noProof/>
          <w:sz w:val="32"/>
          <w:szCs w:val="32"/>
        </w:rPr>
      </w:pPr>
    </w:p>
    <w:p w14:paraId="6F3F81FF" w14:textId="726AFBC9" w:rsidR="0041570C" w:rsidRDefault="0041570C" w:rsidP="0041570C">
      <w:pPr>
        <w:rPr>
          <w:rFonts w:cs="Arial"/>
          <w:b/>
          <w:noProof/>
          <w:sz w:val="32"/>
          <w:szCs w:val="32"/>
        </w:rPr>
      </w:pPr>
    </w:p>
    <w:p w14:paraId="0D4A3A72" w14:textId="73B0D498" w:rsidR="0041570C" w:rsidRDefault="0041570C" w:rsidP="0041570C">
      <w:pPr>
        <w:rPr>
          <w:rFonts w:cs="Arial"/>
          <w:b/>
          <w:noProof/>
          <w:sz w:val="32"/>
          <w:szCs w:val="32"/>
        </w:rPr>
      </w:pPr>
    </w:p>
    <w:p w14:paraId="61D8B95D" w14:textId="524BFF39" w:rsidR="0041570C" w:rsidRDefault="0041570C" w:rsidP="0041570C">
      <w:pPr>
        <w:rPr>
          <w:rFonts w:cs="Arial"/>
          <w:b/>
          <w:noProof/>
          <w:sz w:val="32"/>
          <w:szCs w:val="32"/>
        </w:rPr>
      </w:pPr>
    </w:p>
    <w:p w14:paraId="488B10C3" w14:textId="1A0EE7A0" w:rsidR="0041570C" w:rsidRDefault="0041570C" w:rsidP="0041570C">
      <w:pPr>
        <w:rPr>
          <w:rFonts w:cs="Arial"/>
          <w:b/>
          <w:noProof/>
          <w:sz w:val="32"/>
          <w:szCs w:val="32"/>
        </w:rPr>
      </w:pPr>
    </w:p>
    <w:p w14:paraId="48D8B659" w14:textId="3CD84A46" w:rsidR="0041570C" w:rsidRDefault="0041570C" w:rsidP="0041570C">
      <w:pPr>
        <w:rPr>
          <w:rFonts w:cs="Arial"/>
          <w:b/>
          <w:noProof/>
          <w:sz w:val="32"/>
          <w:szCs w:val="32"/>
        </w:rPr>
      </w:pPr>
    </w:p>
    <w:p w14:paraId="50A64661" w14:textId="15E6E71C" w:rsidR="0041570C" w:rsidRDefault="0041570C" w:rsidP="0041570C">
      <w:pPr>
        <w:rPr>
          <w:rFonts w:cs="Arial"/>
          <w:b/>
          <w:noProof/>
          <w:sz w:val="32"/>
          <w:szCs w:val="32"/>
        </w:rPr>
      </w:pPr>
    </w:p>
    <w:p w14:paraId="563CD7EA" w14:textId="7734156E" w:rsidR="0041570C" w:rsidRDefault="0041570C" w:rsidP="0041570C">
      <w:pPr>
        <w:rPr>
          <w:rFonts w:cs="Arial"/>
          <w:b/>
          <w:noProof/>
          <w:sz w:val="32"/>
          <w:szCs w:val="32"/>
        </w:rPr>
      </w:pPr>
    </w:p>
    <w:p w14:paraId="24270C9B" w14:textId="091B62AA" w:rsidR="0041570C" w:rsidRDefault="0041570C" w:rsidP="0041570C">
      <w:pPr>
        <w:rPr>
          <w:rFonts w:cs="Arial"/>
          <w:b/>
          <w:noProof/>
          <w:sz w:val="32"/>
          <w:szCs w:val="32"/>
        </w:rPr>
      </w:pPr>
    </w:p>
    <w:p w14:paraId="7AA4CAC0" w14:textId="1F033465" w:rsidR="0041570C" w:rsidRDefault="0041570C" w:rsidP="0041570C">
      <w:pPr>
        <w:rPr>
          <w:rFonts w:cs="Arial"/>
          <w:b/>
          <w:noProof/>
          <w:sz w:val="32"/>
          <w:szCs w:val="32"/>
        </w:rPr>
      </w:pPr>
    </w:p>
    <w:p w14:paraId="58FDB7EB" w14:textId="1885992D" w:rsidR="0041570C" w:rsidRDefault="0041570C" w:rsidP="0041570C">
      <w:pPr>
        <w:rPr>
          <w:rFonts w:cs="Arial"/>
          <w:b/>
          <w:noProof/>
          <w:sz w:val="32"/>
          <w:szCs w:val="32"/>
        </w:rPr>
      </w:pPr>
    </w:p>
    <w:p w14:paraId="58520EEA" w14:textId="5F13105B" w:rsidR="0041570C" w:rsidRDefault="0041570C" w:rsidP="0041570C">
      <w:pPr>
        <w:rPr>
          <w:rFonts w:cs="Arial"/>
          <w:b/>
          <w:noProof/>
          <w:sz w:val="32"/>
          <w:szCs w:val="32"/>
        </w:rPr>
      </w:pPr>
    </w:p>
    <w:p w14:paraId="79675BBB" w14:textId="0D370BA0" w:rsidR="0041570C" w:rsidRDefault="0041570C" w:rsidP="0041570C">
      <w:pPr>
        <w:rPr>
          <w:rFonts w:cs="Arial"/>
          <w:b/>
          <w:noProof/>
          <w:sz w:val="32"/>
          <w:szCs w:val="32"/>
        </w:rPr>
      </w:pPr>
    </w:p>
    <w:p w14:paraId="13C5A1D0" w14:textId="1FDD743E" w:rsidR="0041570C" w:rsidRDefault="0041570C" w:rsidP="0041570C">
      <w:pPr>
        <w:rPr>
          <w:rFonts w:cs="Arial"/>
          <w:b/>
          <w:noProof/>
          <w:sz w:val="32"/>
          <w:szCs w:val="32"/>
        </w:rPr>
      </w:pPr>
    </w:p>
    <w:p w14:paraId="0DC13389" w14:textId="47E2CD69" w:rsidR="0041570C" w:rsidRDefault="0041570C" w:rsidP="0041570C">
      <w:pPr>
        <w:rPr>
          <w:rFonts w:cs="Arial"/>
          <w:b/>
          <w:noProof/>
          <w:sz w:val="32"/>
          <w:szCs w:val="32"/>
        </w:rPr>
      </w:pPr>
    </w:p>
    <w:p w14:paraId="62EF094A" w14:textId="0744350D" w:rsidR="0041570C" w:rsidRDefault="0041570C" w:rsidP="0041570C">
      <w:pPr>
        <w:rPr>
          <w:rFonts w:cs="Arial"/>
          <w:b/>
          <w:noProof/>
          <w:sz w:val="32"/>
          <w:szCs w:val="32"/>
        </w:rPr>
      </w:pPr>
    </w:p>
    <w:p w14:paraId="5EB3ED0B" w14:textId="3799971D" w:rsidR="0041570C" w:rsidRDefault="0041570C" w:rsidP="0041570C">
      <w:pPr>
        <w:rPr>
          <w:rFonts w:cs="Arial"/>
          <w:b/>
          <w:noProof/>
          <w:sz w:val="32"/>
          <w:szCs w:val="32"/>
        </w:rPr>
      </w:pPr>
    </w:p>
    <w:p w14:paraId="1A46FE64" w14:textId="309A076A" w:rsidR="0041570C" w:rsidRDefault="0041570C" w:rsidP="0041570C">
      <w:pPr>
        <w:rPr>
          <w:rFonts w:cs="Arial"/>
          <w:b/>
          <w:noProof/>
          <w:sz w:val="32"/>
          <w:szCs w:val="32"/>
        </w:rPr>
      </w:pPr>
    </w:p>
    <w:p w14:paraId="201B331E" w14:textId="4E84D5EC" w:rsidR="0041570C" w:rsidRDefault="0041570C" w:rsidP="0041570C">
      <w:pPr>
        <w:rPr>
          <w:rFonts w:cs="Arial"/>
          <w:b/>
          <w:noProof/>
          <w:sz w:val="32"/>
          <w:szCs w:val="32"/>
        </w:rPr>
      </w:pPr>
    </w:p>
    <w:p w14:paraId="590F9846" w14:textId="46519197" w:rsidR="0041570C" w:rsidRDefault="0041570C" w:rsidP="0041570C">
      <w:pPr>
        <w:rPr>
          <w:rFonts w:cs="Arial"/>
          <w:b/>
          <w:noProof/>
          <w:sz w:val="32"/>
          <w:szCs w:val="32"/>
        </w:rPr>
      </w:pPr>
    </w:p>
    <w:p w14:paraId="424B37BB" w14:textId="5AA5CDA9" w:rsidR="0041570C" w:rsidRDefault="0041570C" w:rsidP="0041570C">
      <w:pPr>
        <w:rPr>
          <w:rFonts w:cs="Arial"/>
          <w:b/>
          <w:noProof/>
          <w:sz w:val="32"/>
          <w:szCs w:val="32"/>
        </w:rPr>
      </w:pPr>
    </w:p>
    <w:p w14:paraId="25CFA63C" w14:textId="2A291D78" w:rsidR="0041570C" w:rsidRDefault="0041570C" w:rsidP="0041570C">
      <w:pPr>
        <w:rPr>
          <w:rFonts w:cs="Arial"/>
          <w:b/>
          <w:noProof/>
          <w:sz w:val="32"/>
          <w:szCs w:val="32"/>
        </w:rPr>
      </w:pPr>
    </w:p>
    <w:p w14:paraId="065C5DFD" w14:textId="208E5AC6" w:rsidR="0041570C" w:rsidRDefault="0041570C" w:rsidP="0041570C">
      <w:pPr>
        <w:rPr>
          <w:rFonts w:cs="Arial"/>
          <w:b/>
          <w:noProof/>
          <w:sz w:val="32"/>
          <w:szCs w:val="32"/>
        </w:rPr>
      </w:pPr>
    </w:p>
    <w:p w14:paraId="103D29AF" w14:textId="1574EA8E" w:rsidR="0041570C" w:rsidRDefault="0041570C" w:rsidP="0041570C">
      <w:pPr>
        <w:rPr>
          <w:rFonts w:cs="Arial"/>
          <w:b/>
          <w:noProof/>
          <w:sz w:val="32"/>
          <w:szCs w:val="32"/>
        </w:rPr>
      </w:pPr>
    </w:p>
    <w:p w14:paraId="4157041B" w14:textId="42455454" w:rsidR="0041570C" w:rsidRDefault="0041570C" w:rsidP="0041570C">
      <w:pPr>
        <w:rPr>
          <w:rFonts w:cs="Arial"/>
          <w:b/>
          <w:noProof/>
          <w:sz w:val="32"/>
          <w:szCs w:val="32"/>
        </w:rPr>
      </w:pPr>
    </w:p>
    <w:p w14:paraId="78C0F028" w14:textId="1CCA1FFA" w:rsidR="0041570C" w:rsidRDefault="0041570C" w:rsidP="0041570C">
      <w:pPr>
        <w:rPr>
          <w:rFonts w:cs="Arial"/>
          <w:b/>
          <w:noProof/>
          <w:sz w:val="32"/>
          <w:szCs w:val="32"/>
        </w:rPr>
      </w:pPr>
    </w:p>
    <w:p w14:paraId="11396D99" w14:textId="632E4DC3" w:rsidR="0041570C" w:rsidRDefault="0041570C" w:rsidP="0041570C">
      <w:pPr>
        <w:rPr>
          <w:rFonts w:cs="Arial"/>
          <w:b/>
          <w:noProof/>
          <w:sz w:val="32"/>
          <w:szCs w:val="32"/>
        </w:rPr>
      </w:pPr>
    </w:p>
    <w:p w14:paraId="026A211D" w14:textId="3C84FEE5" w:rsidR="0041570C" w:rsidRDefault="0041570C" w:rsidP="0041570C">
      <w:pPr>
        <w:rPr>
          <w:rFonts w:cs="Arial"/>
          <w:b/>
          <w:noProof/>
          <w:sz w:val="32"/>
          <w:szCs w:val="32"/>
        </w:rPr>
      </w:pPr>
    </w:p>
    <w:p w14:paraId="55337B39" w14:textId="330B16FE" w:rsidR="0041570C" w:rsidRDefault="0041570C" w:rsidP="0041570C">
      <w:pPr>
        <w:rPr>
          <w:rFonts w:cs="Arial"/>
          <w:b/>
          <w:noProof/>
          <w:sz w:val="32"/>
          <w:szCs w:val="32"/>
        </w:rPr>
      </w:pPr>
    </w:p>
    <w:p w14:paraId="4B7DED95" w14:textId="391048C4" w:rsidR="0041570C" w:rsidRDefault="0041570C" w:rsidP="0041570C">
      <w:pPr>
        <w:rPr>
          <w:rFonts w:cs="Arial"/>
          <w:b/>
          <w:noProof/>
          <w:sz w:val="32"/>
          <w:szCs w:val="32"/>
        </w:rPr>
      </w:pPr>
    </w:p>
    <w:p w14:paraId="40C466A9" w14:textId="49A34AF8" w:rsidR="0041570C" w:rsidRDefault="0041570C" w:rsidP="0041570C">
      <w:pPr>
        <w:rPr>
          <w:rFonts w:cs="Arial"/>
          <w:b/>
          <w:noProof/>
          <w:sz w:val="32"/>
          <w:szCs w:val="32"/>
        </w:rPr>
      </w:pPr>
    </w:p>
    <w:p w14:paraId="187FE350" w14:textId="7D403805" w:rsidR="0041570C" w:rsidRDefault="0041570C" w:rsidP="0041570C">
      <w:pPr>
        <w:rPr>
          <w:rFonts w:cs="Arial"/>
          <w:b/>
          <w:noProof/>
          <w:sz w:val="32"/>
          <w:szCs w:val="32"/>
        </w:rPr>
      </w:pPr>
    </w:p>
    <w:p w14:paraId="23B20E5B" w14:textId="00DD7A53" w:rsidR="0041570C" w:rsidRDefault="0041570C" w:rsidP="0041570C">
      <w:pPr>
        <w:rPr>
          <w:rFonts w:cs="Arial"/>
          <w:b/>
          <w:noProof/>
          <w:sz w:val="32"/>
          <w:szCs w:val="32"/>
        </w:rPr>
      </w:pPr>
    </w:p>
    <w:p w14:paraId="4BAA7DA5" w14:textId="66A30552" w:rsidR="0041570C" w:rsidRDefault="0041570C" w:rsidP="0041570C">
      <w:pPr>
        <w:rPr>
          <w:rFonts w:cs="Arial"/>
          <w:b/>
          <w:noProof/>
          <w:sz w:val="32"/>
          <w:szCs w:val="32"/>
        </w:rPr>
      </w:pPr>
    </w:p>
    <w:p w14:paraId="1710130D" w14:textId="5EB7A1A7" w:rsidR="0041570C" w:rsidRDefault="0041570C" w:rsidP="0041570C">
      <w:pPr>
        <w:rPr>
          <w:rFonts w:cs="Arial"/>
          <w:b/>
          <w:noProof/>
          <w:sz w:val="32"/>
          <w:szCs w:val="32"/>
        </w:rPr>
      </w:pPr>
    </w:p>
    <w:p w14:paraId="45C16BE5" w14:textId="77777777" w:rsidR="0041570C" w:rsidRDefault="0041570C" w:rsidP="0041570C">
      <w:pPr>
        <w:rPr>
          <w:rFonts w:cs="Arial"/>
          <w:b/>
          <w:noProof/>
          <w:sz w:val="32"/>
          <w:szCs w:val="32"/>
        </w:rPr>
      </w:pPr>
    </w:p>
    <w:p w14:paraId="4262EDD3" w14:textId="0E27FC95" w:rsidR="00013A0A" w:rsidRPr="00114433" w:rsidRDefault="00013A0A" w:rsidP="00013A0A">
      <w:pPr>
        <w:ind w:left="720"/>
        <w:jc w:val="right"/>
        <w:rPr>
          <w:b/>
          <w:sz w:val="32"/>
          <w:szCs w:val="32"/>
        </w:rPr>
      </w:pPr>
      <w:r w:rsidRPr="00114433">
        <w:rPr>
          <w:b/>
          <w:sz w:val="32"/>
          <w:szCs w:val="32"/>
        </w:rPr>
        <w:lastRenderedPageBreak/>
        <w:t>APPENDIX G</w:t>
      </w:r>
    </w:p>
    <w:p w14:paraId="3A4DA3D1" w14:textId="276EA567" w:rsidR="00072FE6" w:rsidRPr="00BF7865" w:rsidRDefault="00072FE6" w:rsidP="00E81658">
      <w:pPr>
        <w:rPr>
          <w:rFonts w:cs="Arial"/>
          <w:b/>
          <w:bCs/>
          <w:sz w:val="28"/>
          <w:szCs w:val="28"/>
        </w:rPr>
      </w:pPr>
      <w:r w:rsidRPr="00BF7865">
        <w:rPr>
          <w:rFonts w:cs="Arial"/>
          <w:b/>
          <w:bCs/>
          <w:sz w:val="28"/>
          <w:szCs w:val="28"/>
        </w:rPr>
        <w:t>Capital Strategy</w:t>
      </w:r>
      <w:r w:rsidR="00325E39" w:rsidRPr="00BF7865">
        <w:rPr>
          <w:rFonts w:cs="Arial"/>
          <w:b/>
          <w:bCs/>
          <w:sz w:val="28"/>
          <w:szCs w:val="28"/>
        </w:rPr>
        <w:t xml:space="preserve"> 202</w:t>
      </w:r>
      <w:r w:rsidR="00BF7865" w:rsidRPr="00BF7865">
        <w:rPr>
          <w:rFonts w:cs="Arial"/>
          <w:b/>
          <w:bCs/>
          <w:sz w:val="28"/>
          <w:szCs w:val="28"/>
        </w:rPr>
        <w:t>1</w:t>
      </w:r>
      <w:r w:rsidR="00325E39" w:rsidRPr="00BF7865">
        <w:rPr>
          <w:rFonts w:cs="Arial"/>
          <w:b/>
          <w:bCs/>
          <w:sz w:val="28"/>
          <w:szCs w:val="28"/>
        </w:rPr>
        <w:t>-2</w:t>
      </w:r>
      <w:r w:rsidR="00BF7865" w:rsidRPr="00BF7865">
        <w:rPr>
          <w:rFonts w:cs="Arial"/>
          <w:b/>
          <w:bCs/>
          <w:sz w:val="28"/>
          <w:szCs w:val="28"/>
        </w:rPr>
        <w:t>2</w:t>
      </w:r>
    </w:p>
    <w:p w14:paraId="0CD47E77" w14:textId="77777777" w:rsidR="00014D60" w:rsidRPr="00BF7865" w:rsidRDefault="00014D60" w:rsidP="00014D60">
      <w:pPr>
        <w:jc w:val="both"/>
        <w:rPr>
          <w:rFonts w:cs="Arial"/>
          <w:b/>
          <w:bCs/>
        </w:rPr>
      </w:pPr>
    </w:p>
    <w:p w14:paraId="4F0450F4" w14:textId="77777777" w:rsidR="00014D60" w:rsidRPr="00BF7865" w:rsidRDefault="00014D60" w:rsidP="00014D60">
      <w:pPr>
        <w:jc w:val="both"/>
        <w:rPr>
          <w:rFonts w:cs="Arial"/>
        </w:rPr>
      </w:pPr>
      <w:r w:rsidRPr="00BF7865">
        <w:rPr>
          <w:rFonts w:cs="Arial"/>
          <w:b/>
          <w:bCs/>
        </w:rPr>
        <w:t xml:space="preserve">Contents </w:t>
      </w:r>
    </w:p>
    <w:p w14:paraId="73A2838B" w14:textId="77777777" w:rsidR="00014D60" w:rsidRPr="00BF7865" w:rsidRDefault="00014D60" w:rsidP="00014D60">
      <w:pPr>
        <w:jc w:val="both"/>
        <w:rPr>
          <w:rFonts w:cs="Arial"/>
          <w:b/>
          <w:bCs/>
        </w:rPr>
      </w:pPr>
    </w:p>
    <w:p w14:paraId="7CE0934A" w14:textId="194BCA05" w:rsidR="00014D60" w:rsidRPr="00BF7865" w:rsidRDefault="00014D60" w:rsidP="00014D60">
      <w:pPr>
        <w:jc w:val="both"/>
        <w:rPr>
          <w:rFonts w:cs="Arial"/>
          <w:b/>
          <w:bCs/>
        </w:rPr>
      </w:pPr>
      <w:r w:rsidRPr="00BF7865">
        <w:rPr>
          <w:rFonts w:cs="Arial"/>
          <w:b/>
          <w:bCs/>
        </w:rPr>
        <w:t>Section 1 – Principles of the Capital Strategy</w:t>
      </w:r>
    </w:p>
    <w:p w14:paraId="4E7F8068" w14:textId="256A401D" w:rsidR="00014D60" w:rsidRPr="00BF7865" w:rsidRDefault="00014D60" w:rsidP="00014D60">
      <w:pPr>
        <w:pStyle w:val="ListParagraph"/>
        <w:numPr>
          <w:ilvl w:val="0"/>
          <w:numId w:val="46"/>
        </w:numPr>
        <w:spacing w:before="240" w:after="240"/>
        <w:contextualSpacing/>
        <w:jc w:val="both"/>
        <w:rPr>
          <w:rFonts w:cs="Arial"/>
          <w:szCs w:val="24"/>
        </w:rPr>
      </w:pPr>
      <w:r w:rsidRPr="00BF7865">
        <w:rPr>
          <w:rFonts w:cs="Arial"/>
          <w:szCs w:val="24"/>
        </w:rPr>
        <w:t xml:space="preserve">Introduction </w:t>
      </w:r>
    </w:p>
    <w:p w14:paraId="72FB5C7F" w14:textId="77777777" w:rsidR="00014D60" w:rsidRPr="00BF7865" w:rsidRDefault="00014D60" w:rsidP="00014D60">
      <w:pPr>
        <w:pStyle w:val="ListParagraph"/>
        <w:numPr>
          <w:ilvl w:val="0"/>
          <w:numId w:val="46"/>
        </w:numPr>
        <w:spacing w:before="240" w:after="240"/>
        <w:contextualSpacing/>
        <w:jc w:val="both"/>
        <w:rPr>
          <w:rFonts w:cs="Arial"/>
          <w:szCs w:val="24"/>
        </w:rPr>
      </w:pPr>
      <w:r w:rsidRPr="00BF7865">
        <w:rPr>
          <w:rFonts w:cs="Arial"/>
          <w:szCs w:val="24"/>
        </w:rPr>
        <w:t>Objectives</w:t>
      </w:r>
    </w:p>
    <w:p w14:paraId="4FA6357A" w14:textId="77777777" w:rsidR="00014D60" w:rsidRPr="00BF7865" w:rsidRDefault="00014D60" w:rsidP="00014D60">
      <w:pPr>
        <w:pStyle w:val="ListParagraph"/>
        <w:numPr>
          <w:ilvl w:val="0"/>
          <w:numId w:val="46"/>
        </w:numPr>
        <w:spacing w:before="240" w:after="240"/>
        <w:contextualSpacing/>
        <w:jc w:val="both"/>
        <w:rPr>
          <w:rFonts w:cs="Arial"/>
          <w:szCs w:val="24"/>
        </w:rPr>
      </w:pPr>
      <w:r w:rsidRPr="00BF7865">
        <w:rPr>
          <w:rFonts w:cs="Arial"/>
          <w:szCs w:val="24"/>
        </w:rPr>
        <w:t>Background</w:t>
      </w:r>
    </w:p>
    <w:p w14:paraId="565BF894" w14:textId="36FB1F0A" w:rsidR="00014D60" w:rsidRPr="00BF7865" w:rsidRDefault="00014D60" w:rsidP="00014D60">
      <w:pPr>
        <w:pStyle w:val="ListParagraph"/>
        <w:numPr>
          <w:ilvl w:val="0"/>
          <w:numId w:val="46"/>
        </w:numPr>
        <w:spacing w:before="240" w:after="200"/>
        <w:contextualSpacing/>
        <w:jc w:val="both"/>
        <w:rPr>
          <w:rFonts w:cs="Arial"/>
          <w:szCs w:val="24"/>
        </w:rPr>
      </w:pPr>
      <w:r w:rsidRPr="00BF7865">
        <w:rPr>
          <w:rFonts w:cs="Arial"/>
          <w:szCs w:val="24"/>
        </w:rPr>
        <w:t xml:space="preserve">Capital </w:t>
      </w:r>
      <w:r w:rsidR="00325E39" w:rsidRPr="00BF7865">
        <w:rPr>
          <w:rFonts w:cs="Arial"/>
          <w:szCs w:val="24"/>
        </w:rPr>
        <w:t>e</w:t>
      </w:r>
      <w:r w:rsidRPr="00BF7865">
        <w:rPr>
          <w:rFonts w:cs="Arial"/>
          <w:szCs w:val="24"/>
        </w:rPr>
        <w:t xml:space="preserve">xpenditure </w:t>
      </w:r>
    </w:p>
    <w:p w14:paraId="43AA1057" w14:textId="65BDE261" w:rsidR="00014D60" w:rsidRPr="00BF7865" w:rsidRDefault="00014D60" w:rsidP="00014D60">
      <w:pPr>
        <w:pStyle w:val="ListParagraph"/>
        <w:numPr>
          <w:ilvl w:val="0"/>
          <w:numId w:val="46"/>
        </w:numPr>
        <w:spacing w:before="240" w:after="240"/>
        <w:contextualSpacing/>
        <w:jc w:val="both"/>
        <w:rPr>
          <w:rFonts w:cs="Arial"/>
          <w:szCs w:val="24"/>
        </w:rPr>
      </w:pPr>
      <w:r w:rsidRPr="00BF7865">
        <w:rPr>
          <w:rFonts w:cs="Arial"/>
          <w:szCs w:val="24"/>
        </w:rPr>
        <w:t xml:space="preserve">The </w:t>
      </w:r>
      <w:r w:rsidR="00325E39" w:rsidRPr="00BF7865">
        <w:rPr>
          <w:rFonts w:cs="Arial"/>
          <w:szCs w:val="24"/>
        </w:rPr>
        <w:t>l</w:t>
      </w:r>
      <w:r w:rsidRPr="00BF7865">
        <w:rPr>
          <w:rFonts w:cs="Arial"/>
          <w:szCs w:val="24"/>
        </w:rPr>
        <w:t xml:space="preserve">ink between revenue and capital </w:t>
      </w:r>
    </w:p>
    <w:p w14:paraId="676BC6A8" w14:textId="069A1C21" w:rsidR="00014D60" w:rsidRPr="00BF7865" w:rsidRDefault="00014D60" w:rsidP="00014D60">
      <w:pPr>
        <w:pStyle w:val="ListParagraph"/>
        <w:numPr>
          <w:ilvl w:val="0"/>
          <w:numId w:val="46"/>
        </w:numPr>
        <w:spacing w:before="240" w:after="240"/>
        <w:contextualSpacing/>
        <w:jc w:val="both"/>
        <w:rPr>
          <w:rFonts w:cs="Arial"/>
          <w:szCs w:val="24"/>
        </w:rPr>
      </w:pPr>
      <w:r w:rsidRPr="00BF7865">
        <w:rPr>
          <w:rFonts w:cs="Arial"/>
          <w:szCs w:val="24"/>
        </w:rPr>
        <w:t xml:space="preserve">The </w:t>
      </w:r>
      <w:r w:rsidR="00325E39" w:rsidRPr="00BF7865">
        <w:rPr>
          <w:rFonts w:cs="Arial"/>
          <w:szCs w:val="24"/>
        </w:rPr>
        <w:t>p</w:t>
      </w:r>
      <w:r w:rsidRPr="00BF7865">
        <w:rPr>
          <w:rFonts w:cs="Arial"/>
          <w:szCs w:val="24"/>
        </w:rPr>
        <w:t xml:space="preserve">urpose of </w:t>
      </w:r>
      <w:r w:rsidR="00325E39" w:rsidRPr="00BF7865">
        <w:rPr>
          <w:rFonts w:cs="Arial"/>
          <w:szCs w:val="24"/>
        </w:rPr>
        <w:t>c</w:t>
      </w:r>
      <w:r w:rsidRPr="00BF7865">
        <w:rPr>
          <w:rFonts w:cs="Arial"/>
          <w:szCs w:val="24"/>
        </w:rPr>
        <w:t xml:space="preserve">apital </w:t>
      </w:r>
      <w:r w:rsidR="00325E39" w:rsidRPr="00BF7865">
        <w:rPr>
          <w:rFonts w:cs="Arial"/>
          <w:szCs w:val="24"/>
        </w:rPr>
        <w:t>i</w:t>
      </w:r>
      <w:r w:rsidRPr="00BF7865">
        <w:rPr>
          <w:rFonts w:cs="Arial"/>
          <w:szCs w:val="24"/>
        </w:rPr>
        <w:t xml:space="preserve">nvestment </w:t>
      </w:r>
    </w:p>
    <w:p w14:paraId="1DF9464E" w14:textId="7871D8EA" w:rsidR="00014D60" w:rsidRPr="00BF7865" w:rsidRDefault="00014D60" w:rsidP="00014D60">
      <w:pPr>
        <w:pStyle w:val="ListParagraph"/>
        <w:numPr>
          <w:ilvl w:val="0"/>
          <w:numId w:val="46"/>
        </w:numPr>
        <w:spacing w:before="240" w:after="240"/>
        <w:contextualSpacing/>
        <w:jc w:val="both"/>
        <w:rPr>
          <w:rFonts w:cs="Arial"/>
          <w:szCs w:val="24"/>
        </w:rPr>
      </w:pPr>
      <w:r w:rsidRPr="00BF7865">
        <w:rPr>
          <w:rFonts w:cs="Arial"/>
          <w:szCs w:val="24"/>
        </w:rPr>
        <w:t>What are our C</w:t>
      </w:r>
      <w:r w:rsidR="00325E39" w:rsidRPr="00BF7865">
        <w:rPr>
          <w:rFonts w:cs="Arial"/>
          <w:szCs w:val="24"/>
        </w:rPr>
        <w:t>o</w:t>
      </w:r>
      <w:r w:rsidRPr="00BF7865">
        <w:rPr>
          <w:rFonts w:cs="Arial"/>
          <w:szCs w:val="24"/>
        </w:rPr>
        <w:t xml:space="preserve">uncil Priorities? </w:t>
      </w:r>
    </w:p>
    <w:p w14:paraId="7F0AD4A8" w14:textId="647B67E5" w:rsidR="00014D60" w:rsidRPr="00BF7865" w:rsidRDefault="00014D60" w:rsidP="00014D60">
      <w:pPr>
        <w:pStyle w:val="ListParagraph"/>
        <w:numPr>
          <w:ilvl w:val="0"/>
          <w:numId w:val="46"/>
        </w:numPr>
        <w:spacing w:before="240" w:after="240"/>
        <w:contextualSpacing/>
        <w:jc w:val="both"/>
        <w:rPr>
          <w:rFonts w:cs="Arial"/>
          <w:szCs w:val="24"/>
        </w:rPr>
      </w:pPr>
      <w:r w:rsidRPr="00BF7865">
        <w:rPr>
          <w:rFonts w:cs="Arial"/>
          <w:szCs w:val="24"/>
        </w:rPr>
        <w:t xml:space="preserve">Existing </w:t>
      </w:r>
      <w:r w:rsidR="00325E39" w:rsidRPr="00BF7865">
        <w:rPr>
          <w:rFonts w:cs="Arial"/>
          <w:szCs w:val="24"/>
        </w:rPr>
        <w:t>c</w:t>
      </w:r>
      <w:r w:rsidRPr="00BF7865">
        <w:rPr>
          <w:rFonts w:cs="Arial"/>
          <w:szCs w:val="24"/>
        </w:rPr>
        <w:t xml:space="preserve">apital </w:t>
      </w:r>
      <w:r w:rsidR="00325E39" w:rsidRPr="00BF7865">
        <w:rPr>
          <w:rFonts w:cs="Arial"/>
          <w:szCs w:val="24"/>
        </w:rPr>
        <w:t>p</w:t>
      </w:r>
      <w:r w:rsidRPr="00BF7865">
        <w:rPr>
          <w:rFonts w:cs="Arial"/>
          <w:szCs w:val="24"/>
        </w:rPr>
        <w:t>riorities</w:t>
      </w:r>
    </w:p>
    <w:p w14:paraId="5D8D2552" w14:textId="636E6C8F" w:rsidR="00014D60" w:rsidRPr="00BF7865" w:rsidRDefault="00014D60" w:rsidP="00014D60">
      <w:pPr>
        <w:pStyle w:val="ListParagraph"/>
        <w:numPr>
          <w:ilvl w:val="0"/>
          <w:numId w:val="46"/>
        </w:numPr>
        <w:spacing w:before="240" w:after="240"/>
        <w:contextualSpacing/>
        <w:jc w:val="both"/>
        <w:rPr>
          <w:rFonts w:cs="Arial"/>
          <w:szCs w:val="24"/>
        </w:rPr>
      </w:pPr>
      <w:r w:rsidRPr="00BF7865">
        <w:rPr>
          <w:rFonts w:cs="Arial"/>
          <w:szCs w:val="24"/>
        </w:rPr>
        <w:t xml:space="preserve">Use of </w:t>
      </w:r>
      <w:r w:rsidR="00325E39" w:rsidRPr="00BF7865">
        <w:rPr>
          <w:rFonts w:cs="Arial"/>
          <w:szCs w:val="24"/>
        </w:rPr>
        <w:t>c</w:t>
      </w:r>
      <w:r w:rsidRPr="00BF7865">
        <w:rPr>
          <w:rFonts w:cs="Arial"/>
          <w:szCs w:val="24"/>
        </w:rPr>
        <w:t xml:space="preserve">ommercial </w:t>
      </w:r>
      <w:r w:rsidR="00325E39" w:rsidRPr="00BF7865">
        <w:rPr>
          <w:rFonts w:cs="Arial"/>
          <w:szCs w:val="24"/>
        </w:rPr>
        <w:t>i</w:t>
      </w:r>
      <w:r w:rsidRPr="00BF7865">
        <w:rPr>
          <w:rFonts w:cs="Arial"/>
          <w:szCs w:val="24"/>
        </w:rPr>
        <w:t xml:space="preserve">nvestment </w:t>
      </w:r>
    </w:p>
    <w:p w14:paraId="0ADD9109" w14:textId="77777777" w:rsidR="00014D60" w:rsidRPr="00BF7865" w:rsidRDefault="00014D60" w:rsidP="00014D60">
      <w:pPr>
        <w:pStyle w:val="ListParagraph"/>
        <w:numPr>
          <w:ilvl w:val="0"/>
          <w:numId w:val="46"/>
        </w:numPr>
        <w:spacing w:before="240" w:after="240"/>
        <w:contextualSpacing/>
        <w:jc w:val="both"/>
        <w:rPr>
          <w:rFonts w:cs="Arial"/>
          <w:szCs w:val="24"/>
        </w:rPr>
      </w:pPr>
      <w:r w:rsidRPr="00BF7865">
        <w:rPr>
          <w:rFonts w:cs="Arial"/>
          <w:szCs w:val="24"/>
        </w:rPr>
        <w:t xml:space="preserve">Asset management </w:t>
      </w:r>
    </w:p>
    <w:p w14:paraId="7111BC5D" w14:textId="387AEF59" w:rsidR="00014D60" w:rsidRPr="00BF7865" w:rsidRDefault="00014D60" w:rsidP="00014D60">
      <w:pPr>
        <w:pStyle w:val="ListParagraph"/>
        <w:numPr>
          <w:ilvl w:val="0"/>
          <w:numId w:val="46"/>
        </w:numPr>
        <w:spacing w:before="240" w:after="240"/>
        <w:contextualSpacing/>
        <w:jc w:val="both"/>
        <w:rPr>
          <w:rFonts w:cs="Arial"/>
          <w:szCs w:val="24"/>
        </w:rPr>
      </w:pPr>
      <w:r w:rsidRPr="00BF7865">
        <w:rPr>
          <w:rFonts w:cs="Arial"/>
          <w:szCs w:val="24"/>
        </w:rPr>
        <w:t xml:space="preserve">Capital </w:t>
      </w:r>
      <w:r w:rsidR="00325E39" w:rsidRPr="00BF7865">
        <w:rPr>
          <w:rFonts w:cs="Arial"/>
          <w:szCs w:val="24"/>
        </w:rPr>
        <w:t>d</w:t>
      </w:r>
      <w:r w:rsidRPr="00BF7865">
        <w:rPr>
          <w:rFonts w:cs="Arial"/>
          <w:szCs w:val="24"/>
        </w:rPr>
        <w:t xml:space="preserve">isposals </w:t>
      </w:r>
    </w:p>
    <w:p w14:paraId="50744188" w14:textId="37DC91D2" w:rsidR="00014D60" w:rsidRPr="00BF7865" w:rsidRDefault="00014D60" w:rsidP="00014D60">
      <w:pPr>
        <w:pStyle w:val="ListParagraph"/>
        <w:numPr>
          <w:ilvl w:val="0"/>
          <w:numId w:val="46"/>
        </w:numPr>
        <w:spacing w:before="240" w:after="240"/>
        <w:contextualSpacing/>
        <w:jc w:val="both"/>
        <w:rPr>
          <w:rFonts w:cs="Arial"/>
          <w:szCs w:val="24"/>
        </w:rPr>
      </w:pPr>
      <w:r w:rsidRPr="00BF7865">
        <w:rPr>
          <w:rFonts w:cs="Arial"/>
          <w:szCs w:val="24"/>
        </w:rPr>
        <w:t>Multi-</w:t>
      </w:r>
      <w:r w:rsidR="00325E39" w:rsidRPr="00BF7865">
        <w:rPr>
          <w:rFonts w:cs="Arial"/>
          <w:szCs w:val="24"/>
        </w:rPr>
        <w:t>y</w:t>
      </w:r>
      <w:r w:rsidRPr="00BF7865">
        <w:rPr>
          <w:rFonts w:cs="Arial"/>
          <w:szCs w:val="24"/>
        </w:rPr>
        <w:t xml:space="preserve">ear </w:t>
      </w:r>
      <w:r w:rsidR="00325E39" w:rsidRPr="00BF7865">
        <w:rPr>
          <w:rFonts w:cs="Arial"/>
          <w:szCs w:val="24"/>
        </w:rPr>
        <w:t>c</w:t>
      </w:r>
      <w:r w:rsidRPr="00BF7865">
        <w:rPr>
          <w:rFonts w:cs="Arial"/>
          <w:szCs w:val="24"/>
        </w:rPr>
        <w:t xml:space="preserve">apital </w:t>
      </w:r>
      <w:r w:rsidR="00325E39" w:rsidRPr="00BF7865">
        <w:rPr>
          <w:rFonts w:cs="Arial"/>
          <w:szCs w:val="24"/>
        </w:rPr>
        <w:t>p</w:t>
      </w:r>
      <w:r w:rsidRPr="00BF7865">
        <w:rPr>
          <w:rFonts w:cs="Arial"/>
          <w:szCs w:val="24"/>
        </w:rPr>
        <w:t xml:space="preserve">rojects </w:t>
      </w:r>
    </w:p>
    <w:p w14:paraId="1702E117" w14:textId="3AC967BE" w:rsidR="00014D60" w:rsidRPr="00BF7865" w:rsidRDefault="00014D60" w:rsidP="00014D60">
      <w:pPr>
        <w:pStyle w:val="ListParagraph"/>
        <w:numPr>
          <w:ilvl w:val="0"/>
          <w:numId w:val="46"/>
        </w:numPr>
        <w:spacing w:before="240" w:after="240"/>
        <w:contextualSpacing/>
        <w:jc w:val="both"/>
        <w:rPr>
          <w:rFonts w:cs="Arial"/>
          <w:szCs w:val="24"/>
        </w:rPr>
      </w:pPr>
      <w:r w:rsidRPr="00BF7865">
        <w:rPr>
          <w:rFonts w:cs="Arial"/>
          <w:szCs w:val="24"/>
        </w:rPr>
        <w:t xml:space="preserve">Use of </w:t>
      </w:r>
      <w:r w:rsidR="00325E39" w:rsidRPr="00BF7865">
        <w:rPr>
          <w:rFonts w:cs="Arial"/>
          <w:szCs w:val="24"/>
        </w:rPr>
        <w:t>c</w:t>
      </w:r>
      <w:r w:rsidRPr="00BF7865">
        <w:rPr>
          <w:rFonts w:cs="Arial"/>
          <w:szCs w:val="24"/>
        </w:rPr>
        <w:t xml:space="preserve">apitalisation </w:t>
      </w:r>
      <w:r w:rsidR="00325E39" w:rsidRPr="00BF7865">
        <w:rPr>
          <w:rFonts w:cs="Arial"/>
          <w:szCs w:val="24"/>
        </w:rPr>
        <w:t>f</w:t>
      </w:r>
      <w:r w:rsidRPr="00BF7865">
        <w:rPr>
          <w:rFonts w:cs="Arial"/>
          <w:szCs w:val="24"/>
        </w:rPr>
        <w:t xml:space="preserve">lexibilities </w:t>
      </w:r>
    </w:p>
    <w:p w14:paraId="6481EB4C" w14:textId="77777777" w:rsidR="00014D60" w:rsidRDefault="00014D60" w:rsidP="00014D60">
      <w:pPr>
        <w:jc w:val="both"/>
        <w:rPr>
          <w:rFonts w:cs="Arial"/>
          <w:b/>
          <w:bCs/>
        </w:rPr>
      </w:pPr>
      <w:r w:rsidRPr="00C77C49">
        <w:rPr>
          <w:rFonts w:cs="Arial"/>
          <w:b/>
          <w:bCs/>
        </w:rPr>
        <w:t xml:space="preserve">Section 2 – Selecting, Approving and Monitoring Capital Schemes </w:t>
      </w:r>
    </w:p>
    <w:p w14:paraId="3746A4C2" w14:textId="77777777" w:rsidR="00014D60" w:rsidRPr="00014D60" w:rsidRDefault="00014D60" w:rsidP="00014D60">
      <w:pPr>
        <w:pStyle w:val="ListParagraph"/>
        <w:numPr>
          <w:ilvl w:val="0"/>
          <w:numId w:val="46"/>
        </w:numPr>
        <w:spacing w:before="240" w:after="240"/>
        <w:contextualSpacing/>
        <w:jc w:val="both"/>
        <w:rPr>
          <w:rFonts w:cs="Arial"/>
          <w:szCs w:val="24"/>
        </w:rPr>
      </w:pPr>
      <w:r w:rsidRPr="00014D60">
        <w:rPr>
          <w:rFonts w:cs="Arial"/>
          <w:szCs w:val="24"/>
        </w:rPr>
        <w:t xml:space="preserve">The importance of capital appraisals </w:t>
      </w:r>
    </w:p>
    <w:p w14:paraId="2C2B78AD" w14:textId="77777777" w:rsidR="00014D60" w:rsidRPr="00014D60" w:rsidRDefault="00014D60" w:rsidP="00014D60">
      <w:pPr>
        <w:pStyle w:val="ListParagraph"/>
        <w:numPr>
          <w:ilvl w:val="0"/>
          <w:numId w:val="46"/>
        </w:numPr>
        <w:spacing w:before="240" w:after="240"/>
        <w:contextualSpacing/>
        <w:jc w:val="both"/>
        <w:rPr>
          <w:rFonts w:cs="Arial"/>
          <w:szCs w:val="24"/>
        </w:rPr>
      </w:pPr>
      <w:r w:rsidRPr="00014D60">
        <w:rPr>
          <w:rFonts w:cs="Arial"/>
          <w:szCs w:val="24"/>
        </w:rPr>
        <w:t xml:space="preserve"> Information to be considered in decision making </w:t>
      </w:r>
    </w:p>
    <w:p w14:paraId="1AC1424B" w14:textId="4D19CE94" w:rsidR="00014D60" w:rsidRPr="00014D60" w:rsidRDefault="00014D60" w:rsidP="00014D60">
      <w:pPr>
        <w:pStyle w:val="ListParagraph"/>
        <w:numPr>
          <w:ilvl w:val="0"/>
          <w:numId w:val="46"/>
        </w:numPr>
        <w:spacing w:before="240" w:after="240"/>
        <w:contextualSpacing/>
        <w:jc w:val="both"/>
        <w:rPr>
          <w:rFonts w:cs="Arial"/>
          <w:szCs w:val="24"/>
        </w:rPr>
      </w:pPr>
      <w:r w:rsidRPr="00014D60">
        <w:rPr>
          <w:rFonts w:cs="Arial"/>
          <w:szCs w:val="24"/>
        </w:rPr>
        <w:t xml:space="preserve"> Governance of the </w:t>
      </w:r>
      <w:r w:rsidR="00325E39">
        <w:rPr>
          <w:rFonts w:cs="Arial"/>
          <w:szCs w:val="24"/>
        </w:rPr>
        <w:t>c</w:t>
      </w:r>
      <w:r w:rsidRPr="00014D60">
        <w:rPr>
          <w:rFonts w:cs="Arial"/>
          <w:szCs w:val="24"/>
        </w:rPr>
        <w:t xml:space="preserve">apital </w:t>
      </w:r>
      <w:r w:rsidR="00325E39">
        <w:rPr>
          <w:rFonts w:cs="Arial"/>
          <w:szCs w:val="24"/>
        </w:rPr>
        <w:t>p</w:t>
      </w:r>
      <w:r w:rsidRPr="00014D60">
        <w:rPr>
          <w:rFonts w:cs="Arial"/>
          <w:szCs w:val="24"/>
        </w:rPr>
        <w:t xml:space="preserve">rogramme </w:t>
      </w:r>
    </w:p>
    <w:p w14:paraId="0318E8A1" w14:textId="3399FD91" w:rsidR="00014D60" w:rsidRPr="00014D60" w:rsidRDefault="00014D60" w:rsidP="00014D60">
      <w:pPr>
        <w:pStyle w:val="ListParagraph"/>
        <w:numPr>
          <w:ilvl w:val="0"/>
          <w:numId w:val="46"/>
        </w:numPr>
        <w:spacing w:before="240" w:after="240"/>
        <w:contextualSpacing/>
        <w:jc w:val="both"/>
        <w:rPr>
          <w:rFonts w:cs="Arial"/>
          <w:szCs w:val="24"/>
        </w:rPr>
      </w:pPr>
      <w:r w:rsidRPr="00014D60">
        <w:rPr>
          <w:rFonts w:cs="Arial"/>
          <w:szCs w:val="24"/>
        </w:rPr>
        <w:t xml:space="preserve"> In-</w:t>
      </w:r>
      <w:r w:rsidR="00325E39">
        <w:rPr>
          <w:rFonts w:cs="Arial"/>
          <w:szCs w:val="24"/>
        </w:rPr>
        <w:t>y</w:t>
      </w:r>
      <w:r w:rsidRPr="00014D60">
        <w:rPr>
          <w:rFonts w:cs="Arial"/>
          <w:szCs w:val="24"/>
        </w:rPr>
        <w:t xml:space="preserve">ear </w:t>
      </w:r>
      <w:r w:rsidR="00325E39">
        <w:rPr>
          <w:rFonts w:cs="Arial"/>
          <w:szCs w:val="24"/>
        </w:rPr>
        <w:t>c</w:t>
      </w:r>
      <w:r w:rsidRPr="00014D60">
        <w:rPr>
          <w:rFonts w:cs="Arial"/>
          <w:szCs w:val="24"/>
        </w:rPr>
        <w:t xml:space="preserve">apital </w:t>
      </w:r>
      <w:r w:rsidR="00325E39">
        <w:rPr>
          <w:rFonts w:cs="Arial"/>
          <w:szCs w:val="24"/>
        </w:rPr>
        <w:t>d</w:t>
      </w:r>
      <w:r w:rsidRPr="00014D60">
        <w:rPr>
          <w:rFonts w:cs="Arial"/>
          <w:szCs w:val="24"/>
        </w:rPr>
        <w:t xml:space="preserve">ecisions </w:t>
      </w:r>
    </w:p>
    <w:p w14:paraId="6DA1107F" w14:textId="42444156" w:rsidR="00014D60" w:rsidRPr="00014D60" w:rsidRDefault="00014D60" w:rsidP="00014D60">
      <w:pPr>
        <w:pStyle w:val="ListParagraph"/>
        <w:numPr>
          <w:ilvl w:val="0"/>
          <w:numId w:val="46"/>
        </w:numPr>
        <w:spacing w:before="240" w:after="240"/>
        <w:contextualSpacing/>
        <w:jc w:val="both"/>
        <w:rPr>
          <w:rFonts w:cs="Arial"/>
          <w:szCs w:val="24"/>
        </w:rPr>
      </w:pPr>
      <w:r w:rsidRPr="00014D60">
        <w:rPr>
          <w:rFonts w:cs="Arial"/>
          <w:szCs w:val="24"/>
        </w:rPr>
        <w:t xml:space="preserve"> Monitoring </w:t>
      </w:r>
      <w:r w:rsidR="00325E39">
        <w:rPr>
          <w:rFonts w:cs="Arial"/>
          <w:szCs w:val="24"/>
        </w:rPr>
        <w:t>c</w:t>
      </w:r>
      <w:r w:rsidRPr="00014D60">
        <w:rPr>
          <w:rFonts w:cs="Arial"/>
          <w:szCs w:val="24"/>
        </w:rPr>
        <w:t xml:space="preserve">apital </w:t>
      </w:r>
      <w:r w:rsidR="00325E39">
        <w:rPr>
          <w:rFonts w:cs="Arial"/>
          <w:szCs w:val="24"/>
        </w:rPr>
        <w:t>p</w:t>
      </w:r>
      <w:r w:rsidRPr="00014D60">
        <w:rPr>
          <w:rFonts w:cs="Arial"/>
          <w:szCs w:val="24"/>
        </w:rPr>
        <w:t xml:space="preserve">rojects </w:t>
      </w:r>
    </w:p>
    <w:p w14:paraId="5702D831" w14:textId="77777777" w:rsidR="00014D60" w:rsidRDefault="00014D60" w:rsidP="00014D60">
      <w:pPr>
        <w:jc w:val="both"/>
        <w:rPr>
          <w:rFonts w:cs="Arial"/>
          <w:b/>
          <w:bCs/>
        </w:rPr>
      </w:pPr>
      <w:r w:rsidRPr="00C77C49">
        <w:rPr>
          <w:rFonts w:cs="Arial"/>
          <w:b/>
          <w:bCs/>
        </w:rPr>
        <w:t>Section 3</w:t>
      </w:r>
      <w:r>
        <w:rPr>
          <w:rFonts w:cs="Arial"/>
          <w:b/>
          <w:bCs/>
        </w:rPr>
        <w:t xml:space="preserve"> -</w:t>
      </w:r>
      <w:r w:rsidRPr="00C77C49">
        <w:rPr>
          <w:rFonts w:cs="Arial"/>
          <w:b/>
          <w:bCs/>
        </w:rPr>
        <w:t xml:space="preserve"> Financing the Capital Programme </w:t>
      </w:r>
    </w:p>
    <w:p w14:paraId="039748B4" w14:textId="2DEC78BF" w:rsidR="00014D60" w:rsidRPr="00014D60" w:rsidRDefault="00014D60" w:rsidP="00014D60">
      <w:pPr>
        <w:pStyle w:val="ListParagraph"/>
        <w:numPr>
          <w:ilvl w:val="0"/>
          <w:numId w:val="46"/>
        </w:numPr>
        <w:spacing w:before="240" w:after="240"/>
        <w:contextualSpacing/>
        <w:jc w:val="both"/>
        <w:rPr>
          <w:rFonts w:cs="Arial"/>
          <w:szCs w:val="24"/>
        </w:rPr>
      </w:pPr>
      <w:r w:rsidRPr="00014D60">
        <w:rPr>
          <w:rFonts w:cs="Arial"/>
          <w:szCs w:val="24"/>
        </w:rPr>
        <w:t xml:space="preserve">Capital </w:t>
      </w:r>
      <w:r w:rsidR="00325E39">
        <w:rPr>
          <w:rFonts w:cs="Arial"/>
          <w:szCs w:val="24"/>
        </w:rPr>
        <w:t>f</w:t>
      </w:r>
      <w:r w:rsidRPr="00014D60">
        <w:rPr>
          <w:rFonts w:cs="Arial"/>
          <w:szCs w:val="24"/>
        </w:rPr>
        <w:t xml:space="preserve">unding </w:t>
      </w:r>
    </w:p>
    <w:p w14:paraId="5DCCC953" w14:textId="4CAF2C1F" w:rsidR="00014D60" w:rsidRPr="00014D60" w:rsidRDefault="00014D60" w:rsidP="00014D60">
      <w:pPr>
        <w:pStyle w:val="ListParagraph"/>
        <w:numPr>
          <w:ilvl w:val="0"/>
          <w:numId w:val="46"/>
        </w:numPr>
        <w:spacing w:before="240" w:after="240"/>
        <w:contextualSpacing/>
        <w:jc w:val="both"/>
        <w:rPr>
          <w:rFonts w:cs="Arial"/>
          <w:szCs w:val="24"/>
        </w:rPr>
      </w:pPr>
      <w:r w:rsidRPr="00014D60">
        <w:rPr>
          <w:rFonts w:cs="Arial"/>
          <w:szCs w:val="24"/>
        </w:rPr>
        <w:t xml:space="preserve">Capital </w:t>
      </w:r>
      <w:r w:rsidR="00325E39">
        <w:rPr>
          <w:rFonts w:cs="Arial"/>
          <w:szCs w:val="24"/>
        </w:rPr>
        <w:t>r</w:t>
      </w:r>
      <w:r w:rsidRPr="00014D60">
        <w:rPr>
          <w:rFonts w:cs="Arial"/>
          <w:szCs w:val="24"/>
        </w:rPr>
        <w:t xml:space="preserve">esources </w:t>
      </w:r>
    </w:p>
    <w:p w14:paraId="14546E3D" w14:textId="77FAD114" w:rsidR="00014D60" w:rsidRPr="00014D60" w:rsidRDefault="00014D60" w:rsidP="00014D60">
      <w:pPr>
        <w:pStyle w:val="ListParagraph"/>
        <w:numPr>
          <w:ilvl w:val="0"/>
          <w:numId w:val="46"/>
        </w:numPr>
        <w:spacing w:before="240" w:after="240"/>
        <w:contextualSpacing/>
        <w:jc w:val="both"/>
        <w:rPr>
          <w:rFonts w:cs="Arial"/>
          <w:szCs w:val="24"/>
        </w:rPr>
      </w:pPr>
      <w:r w:rsidRPr="00014D60">
        <w:rPr>
          <w:rFonts w:cs="Arial"/>
          <w:szCs w:val="24"/>
        </w:rPr>
        <w:t xml:space="preserve">External </w:t>
      </w:r>
      <w:r w:rsidR="00325E39">
        <w:rPr>
          <w:rFonts w:cs="Arial"/>
          <w:szCs w:val="24"/>
        </w:rPr>
        <w:t>f</w:t>
      </w:r>
      <w:r w:rsidRPr="00014D60">
        <w:rPr>
          <w:rFonts w:cs="Arial"/>
          <w:szCs w:val="24"/>
        </w:rPr>
        <w:t xml:space="preserve">unding </w:t>
      </w:r>
      <w:r w:rsidR="00325E39">
        <w:rPr>
          <w:rFonts w:cs="Arial"/>
          <w:szCs w:val="24"/>
        </w:rPr>
        <w:t>s</w:t>
      </w:r>
      <w:r w:rsidRPr="00014D60">
        <w:rPr>
          <w:rFonts w:cs="Arial"/>
          <w:szCs w:val="24"/>
        </w:rPr>
        <w:t xml:space="preserve">ources </w:t>
      </w:r>
    </w:p>
    <w:p w14:paraId="0615E205" w14:textId="028FD513" w:rsidR="00014D60" w:rsidRPr="00014D60" w:rsidRDefault="00014D60" w:rsidP="00014D60">
      <w:pPr>
        <w:pStyle w:val="ListParagraph"/>
        <w:numPr>
          <w:ilvl w:val="0"/>
          <w:numId w:val="46"/>
        </w:numPr>
        <w:spacing w:before="240" w:after="240"/>
        <w:contextualSpacing/>
        <w:jc w:val="both"/>
        <w:rPr>
          <w:rFonts w:cs="Arial"/>
          <w:szCs w:val="24"/>
        </w:rPr>
      </w:pPr>
      <w:r w:rsidRPr="00014D60">
        <w:rPr>
          <w:rFonts w:cs="Arial"/>
          <w:szCs w:val="24"/>
        </w:rPr>
        <w:t xml:space="preserve">Policy on the use of </w:t>
      </w:r>
      <w:r w:rsidR="00325E39">
        <w:rPr>
          <w:rFonts w:cs="Arial"/>
          <w:szCs w:val="24"/>
        </w:rPr>
        <w:t>c</w:t>
      </w:r>
      <w:r w:rsidRPr="00014D60">
        <w:rPr>
          <w:rFonts w:cs="Arial"/>
          <w:szCs w:val="24"/>
        </w:rPr>
        <w:t xml:space="preserve">apital </w:t>
      </w:r>
      <w:r w:rsidR="00325E39">
        <w:rPr>
          <w:rFonts w:cs="Arial"/>
          <w:szCs w:val="24"/>
        </w:rPr>
        <w:t>f</w:t>
      </w:r>
      <w:r w:rsidRPr="00014D60">
        <w:rPr>
          <w:rFonts w:cs="Arial"/>
          <w:szCs w:val="24"/>
        </w:rPr>
        <w:t xml:space="preserve">unding </w:t>
      </w:r>
    </w:p>
    <w:p w14:paraId="108C94B7" w14:textId="77777777" w:rsidR="00014D60" w:rsidRPr="00014D60" w:rsidRDefault="00014D60" w:rsidP="00014D60">
      <w:pPr>
        <w:pStyle w:val="ListParagraph"/>
        <w:numPr>
          <w:ilvl w:val="0"/>
          <w:numId w:val="46"/>
        </w:numPr>
        <w:spacing w:before="240" w:after="240"/>
        <w:contextualSpacing/>
        <w:jc w:val="both"/>
        <w:rPr>
          <w:rFonts w:cs="Arial"/>
          <w:szCs w:val="24"/>
        </w:rPr>
      </w:pPr>
      <w:r w:rsidRPr="00014D60">
        <w:rPr>
          <w:rFonts w:cs="Arial"/>
          <w:szCs w:val="24"/>
        </w:rPr>
        <w:t xml:space="preserve">Relationship between Capital Strategy and Treasury Management </w:t>
      </w:r>
    </w:p>
    <w:p w14:paraId="1FAFCEF0" w14:textId="5A6D52A5" w:rsidR="00014D60" w:rsidRPr="00014D60" w:rsidRDefault="00014D60" w:rsidP="00014D60">
      <w:pPr>
        <w:jc w:val="both"/>
        <w:rPr>
          <w:rFonts w:cs="Arial"/>
          <w:b/>
          <w:bCs/>
        </w:rPr>
      </w:pPr>
      <w:r w:rsidRPr="00C77C49">
        <w:rPr>
          <w:rFonts w:cs="Arial"/>
          <w:b/>
          <w:bCs/>
        </w:rPr>
        <w:t xml:space="preserve">Section 4 – Risk Management </w:t>
      </w:r>
    </w:p>
    <w:p w14:paraId="36A29A24" w14:textId="28D23B7C" w:rsidR="00014D60" w:rsidRPr="00014D60" w:rsidRDefault="00014D60" w:rsidP="00014D60">
      <w:pPr>
        <w:pStyle w:val="ListParagraph"/>
        <w:numPr>
          <w:ilvl w:val="0"/>
          <w:numId w:val="46"/>
        </w:numPr>
        <w:spacing w:before="240" w:after="240"/>
        <w:contextualSpacing/>
        <w:jc w:val="both"/>
        <w:rPr>
          <w:rFonts w:cs="Arial"/>
          <w:szCs w:val="24"/>
        </w:rPr>
      </w:pPr>
      <w:r w:rsidRPr="00014D60">
        <w:rPr>
          <w:rFonts w:cs="Arial"/>
          <w:szCs w:val="24"/>
        </w:rPr>
        <w:t xml:space="preserve">Embedding </w:t>
      </w:r>
      <w:r w:rsidR="00325E39">
        <w:rPr>
          <w:rFonts w:cs="Arial"/>
          <w:szCs w:val="24"/>
        </w:rPr>
        <w:t>r</w:t>
      </w:r>
      <w:r w:rsidRPr="00014D60">
        <w:rPr>
          <w:rFonts w:cs="Arial"/>
          <w:szCs w:val="24"/>
        </w:rPr>
        <w:t xml:space="preserve">isk </w:t>
      </w:r>
      <w:r w:rsidR="00325E39">
        <w:rPr>
          <w:rFonts w:cs="Arial"/>
          <w:szCs w:val="24"/>
        </w:rPr>
        <w:t>m</w:t>
      </w:r>
      <w:r w:rsidRPr="00014D60">
        <w:rPr>
          <w:rFonts w:cs="Arial"/>
          <w:szCs w:val="24"/>
        </w:rPr>
        <w:t xml:space="preserve">anagement in the </w:t>
      </w:r>
      <w:r w:rsidR="00325E39">
        <w:rPr>
          <w:rFonts w:cs="Arial"/>
          <w:szCs w:val="24"/>
        </w:rPr>
        <w:t>c</w:t>
      </w:r>
      <w:r w:rsidRPr="00014D60">
        <w:rPr>
          <w:rFonts w:cs="Arial"/>
          <w:szCs w:val="24"/>
        </w:rPr>
        <w:t xml:space="preserve">apital </w:t>
      </w:r>
      <w:r w:rsidR="00325E39">
        <w:rPr>
          <w:rFonts w:cs="Arial"/>
          <w:szCs w:val="24"/>
        </w:rPr>
        <w:t>p</w:t>
      </w:r>
      <w:r w:rsidRPr="00014D60">
        <w:rPr>
          <w:rFonts w:cs="Arial"/>
          <w:szCs w:val="24"/>
        </w:rPr>
        <w:t xml:space="preserve">rogramme </w:t>
      </w:r>
    </w:p>
    <w:p w14:paraId="17001F76" w14:textId="77777777" w:rsidR="00014D60" w:rsidRPr="00014D60" w:rsidRDefault="00014D60" w:rsidP="00014D60">
      <w:pPr>
        <w:pStyle w:val="ListParagraph"/>
        <w:numPr>
          <w:ilvl w:val="0"/>
          <w:numId w:val="46"/>
        </w:numPr>
        <w:spacing w:before="240" w:after="240"/>
        <w:contextualSpacing/>
        <w:jc w:val="both"/>
        <w:rPr>
          <w:rFonts w:cs="Arial"/>
          <w:szCs w:val="24"/>
        </w:rPr>
      </w:pPr>
      <w:r w:rsidRPr="00014D60">
        <w:rPr>
          <w:rFonts w:cs="Arial"/>
          <w:szCs w:val="24"/>
        </w:rPr>
        <w:t xml:space="preserve">Knowledge and skills within the organisation </w:t>
      </w:r>
    </w:p>
    <w:p w14:paraId="7AC3B72C" w14:textId="77777777" w:rsidR="00014D60" w:rsidRDefault="00014D60" w:rsidP="00014D60">
      <w:pPr>
        <w:jc w:val="both"/>
        <w:rPr>
          <w:rFonts w:cs="Arial"/>
          <w:b/>
          <w:bCs/>
        </w:rPr>
      </w:pPr>
    </w:p>
    <w:p w14:paraId="415713DC" w14:textId="56503E6A" w:rsidR="00014D60" w:rsidRDefault="00014D60" w:rsidP="00014D60">
      <w:pPr>
        <w:jc w:val="both"/>
        <w:rPr>
          <w:rFonts w:cs="Arial"/>
          <w:b/>
          <w:bCs/>
        </w:rPr>
      </w:pPr>
    </w:p>
    <w:p w14:paraId="5F77565A" w14:textId="00389F7A" w:rsidR="00014D60" w:rsidRDefault="00014D60" w:rsidP="00014D60">
      <w:pPr>
        <w:jc w:val="both"/>
        <w:rPr>
          <w:rFonts w:cs="Arial"/>
          <w:b/>
          <w:bCs/>
        </w:rPr>
      </w:pPr>
    </w:p>
    <w:p w14:paraId="174ACA90" w14:textId="2B49B57B" w:rsidR="00014D60" w:rsidRDefault="00014D60" w:rsidP="00014D60">
      <w:pPr>
        <w:jc w:val="both"/>
        <w:rPr>
          <w:rFonts w:cs="Arial"/>
          <w:b/>
          <w:bCs/>
        </w:rPr>
      </w:pPr>
    </w:p>
    <w:p w14:paraId="45C3F63F" w14:textId="09CAB4A5" w:rsidR="00014D60" w:rsidRDefault="00014D60" w:rsidP="00014D60">
      <w:pPr>
        <w:jc w:val="both"/>
        <w:rPr>
          <w:rFonts w:cs="Arial"/>
          <w:b/>
          <w:bCs/>
        </w:rPr>
      </w:pPr>
    </w:p>
    <w:p w14:paraId="4080C4AE" w14:textId="27061D88" w:rsidR="00014D60" w:rsidRDefault="00014D60" w:rsidP="00014D60">
      <w:pPr>
        <w:jc w:val="both"/>
        <w:rPr>
          <w:rFonts w:cs="Arial"/>
          <w:b/>
          <w:bCs/>
        </w:rPr>
      </w:pPr>
    </w:p>
    <w:p w14:paraId="30A7A779" w14:textId="2440C23D" w:rsidR="00014D60" w:rsidRDefault="00014D60" w:rsidP="00014D60">
      <w:pPr>
        <w:jc w:val="both"/>
        <w:rPr>
          <w:rFonts w:cs="Arial"/>
          <w:b/>
          <w:bCs/>
        </w:rPr>
      </w:pPr>
    </w:p>
    <w:p w14:paraId="63686EDB" w14:textId="3871B973" w:rsidR="00325E39" w:rsidRDefault="00325E39" w:rsidP="00014D60">
      <w:pPr>
        <w:jc w:val="both"/>
        <w:rPr>
          <w:rFonts w:cs="Arial"/>
          <w:b/>
          <w:bCs/>
        </w:rPr>
      </w:pPr>
    </w:p>
    <w:p w14:paraId="7DE44E36" w14:textId="603318AA" w:rsidR="00325E39" w:rsidRDefault="00325E39" w:rsidP="00014D60">
      <w:pPr>
        <w:jc w:val="both"/>
        <w:rPr>
          <w:rFonts w:cs="Arial"/>
          <w:b/>
          <w:bCs/>
        </w:rPr>
      </w:pPr>
    </w:p>
    <w:p w14:paraId="23462A52" w14:textId="77777777" w:rsidR="00325E39" w:rsidRDefault="00325E39" w:rsidP="00014D60">
      <w:pPr>
        <w:jc w:val="both"/>
        <w:rPr>
          <w:rFonts w:cs="Arial"/>
          <w:b/>
          <w:bCs/>
        </w:rPr>
      </w:pPr>
    </w:p>
    <w:p w14:paraId="21D24F54" w14:textId="77777777" w:rsidR="00014D60" w:rsidRDefault="00014D60" w:rsidP="00014D60">
      <w:pPr>
        <w:jc w:val="both"/>
        <w:rPr>
          <w:rFonts w:cs="Arial"/>
          <w:b/>
          <w:bCs/>
        </w:rPr>
      </w:pPr>
    </w:p>
    <w:p w14:paraId="44A1C8F2" w14:textId="77777777" w:rsidR="00014D60" w:rsidRPr="00C77C49" w:rsidRDefault="00014D60" w:rsidP="00014D60">
      <w:pPr>
        <w:jc w:val="both"/>
        <w:rPr>
          <w:rFonts w:cs="Arial"/>
        </w:rPr>
      </w:pPr>
      <w:r w:rsidRPr="00C77C49">
        <w:rPr>
          <w:rFonts w:cs="Arial"/>
          <w:b/>
          <w:bCs/>
        </w:rPr>
        <w:lastRenderedPageBreak/>
        <w:t xml:space="preserve">Section 1 – </w:t>
      </w:r>
      <w:r w:rsidRPr="00AA6B2A">
        <w:rPr>
          <w:rFonts w:cs="Arial"/>
          <w:b/>
          <w:bCs/>
          <w:u w:val="single"/>
        </w:rPr>
        <w:t xml:space="preserve">Principles of the </w:t>
      </w:r>
      <w:r w:rsidRPr="00AA6B2A">
        <w:rPr>
          <w:rFonts w:cs="Arial"/>
          <w:b/>
          <w:bCs/>
          <w:caps/>
          <w:u w:val="single"/>
        </w:rPr>
        <w:t>Capital Strategy</w:t>
      </w:r>
      <w:r w:rsidRPr="00C77C49">
        <w:rPr>
          <w:rFonts w:cs="Arial"/>
          <w:b/>
          <w:bCs/>
        </w:rPr>
        <w:t xml:space="preserve"> </w:t>
      </w:r>
    </w:p>
    <w:p w14:paraId="0DA6C695" w14:textId="77777777" w:rsidR="00014D60" w:rsidRDefault="00014D60" w:rsidP="00014D60">
      <w:pPr>
        <w:jc w:val="both"/>
        <w:rPr>
          <w:rFonts w:cs="Arial"/>
          <w:b/>
          <w:bCs/>
        </w:rPr>
      </w:pPr>
    </w:p>
    <w:p w14:paraId="521CED5D" w14:textId="77777777" w:rsidR="00014D60" w:rsidRDefault="00014D60" w:rsidP="00014D60">
      <w:pPr>
        <w:numPr>
          <w:ilvl w:val="0"/>
          <w:numId w:val="49"/>
        </w:numPr>
        <w:ind w:hanging="720"/>
        <w:jc w:val="both"/>
        <w:rPr>
          <w:rFonts w:cs="Arial"/>
          <w:b/>
          <w:bCs/>
        </w:rPr>
      </w:pPr>
      <w:r w:rsidRPr="00C77C49">
        <w:rPr>
          <w:rFonts w:cs="Arial"/>
          <w:b/>
          <w:bCs/>
        </w:rPr>
        <w:t xml:space="preserve">Introduction </w:t>
      </w:r>
    </w:p>
    <w:p w14:paraId="3ACADB35" w14:textId="77777777" w:rsidR="00014D60" w:rsidRPr="00AA6B2A" w:rsidRDefault="00014D60" w:rsidP="00014D60">
      <w:pPr>
        <w:ind w:left="720"/>
        <w:jc w:val="both"/>
        <w:rPr>
          <w:rFonts w:cs="Arial"/>
          <w:b/>
          <w:bCs/>
        </w:rPr>
      </w:pPr>
    </w:p>
    <w:p w14:paraId="1348529A" w14:textId="77777777" w:rsidR="00014D60" w:rsidRDefault="00014D60" w:rsidP="00014D60">
      <w:pPr>
        <w:jc w:val="both"/>
        <w:rPr>
          <w:rFonts w:cs="Arial"/>
        </w:rPr>
      </w:pPr>
      <w:r w:rsidRPr="00762996">
        <w:rPr>
          <w:rFonts w:cs="Arial"/>
        </w:rPr>
        <w:t>In December 2017, the Chartered Institute of Public Finance &amp; Accountancy issued a revised Prudential and Treasury Management Code, requiring all local authorities to produce a Ca</w:t>
      </w:r>
      <w:r>
        <w:rPr>
          <w:rFonts w:cs="Arial"/>
        </w:rPr>
        <w:t>pital Strategy report from 2019/</w:t>
      </w:r>
      <w:r w:rsidRPr="00762996">
        <w:rPr>
          <w:rFonts w:cs="Arial"/>
        </w:rPr>
        <w:t>20 onwards to show</w:t>
      </w:r>
      <w:r>
        <w:rPr>
          <w:rFonts w:cs="Arial"/>
        </w:rPr>
        <w:t>:</w:t>
      </w:r>
    </w:p>
    <w:p w14:paraId="5895A952" w14:textId="77777777" w:rsidR="00014D60" w:rsidRPr="00762996" w:rsidRDefault="00014D60" w:rsidP="00014D60">
      <w:pPr>
        <w:jc w:val="both"/>
        <w:rPr>
          <w:rFonts w:cs="Arial"/>
        </w:rPr>
      </w:pPr>
    </w:p>
    <w:p w14:paraId="008DA4A8" w14:textId="77777777" w:rsidR="00014D60" w:rsidRPr="00F2492E" w:rsidRDefault="00014D60" w:rsidP="00014D60">
      <w:pPr>
        <w:pStyle w:val="ListParagraph"/>
        <w:numPr>
          <w:ilvl w:val="0"/>
          <w:numId w:val="47"/>
        </w:numPr>
        <w:spacing w:after="200" w:line="276" w:lineRule="auto"/>
        <w:contextualSpacing/>
        <w:jc w:val="both"/>
        <w:rPr>
          <w:rFonts w:cs="Arial"/>
        </w:rPr>
      </w:pPr>
      <w:r w:rsidRPr="00F2492E">
        <w:rPr>
          <w:rFonts w:cs="Arial"/>
        </w:rPr>
        <w:t>a high-level long term overview of how capital expenditure, capital financing and treasury management activity contribute to the provision of services</w:t>
      </w:r>
    </w:p>
    <w:p w14:paraId="54F269CB" w14:textId="77777777" w:rsidR="00014D60" w:rsidRPr="00F2492E" w:rsidRDefault="00014D60" w:rsidP="00014D60">
      <w:pPr>
        <w:pStyle w:val="ListParagraph"/>
        <w:numPr>
          <w:ilvl w:val="0"/>
          <w:numId w:val="47"/>
        </w:numPr>
        <w:spacing w:after="200" w:line="276" w:lineRule="auto"/>
        <w:contextualSpacing/>
        <w:jc w:val="both"/>
        <w:rPr>
          <w:rFonts w:cs="Arial"/>
        </w:rPr>
      </w:pPr>
      <w:r w:rsidRPr="00F2492E">
        <w:rPr>
          <w:rFonts w:cs="Arial"/>
        </w:rPr>
        <w:t>an overview of how the associated risk is managed</w:t>
      </w:r>
    </w:p>
    <w:p w14:paraId="72D16364" w14:textId="77777777" w:rsidR="00014D60" w:rsidRPr="00F2492E" w:rsidRDefault="00014D60" w:rsidP="00014D60">
      <w:pPr>
        <w:pStyle w:val="ListParagraph"/>
        <w:numPr>
          <w:ilvl w:val="0"/>
          <w:numId w:val="47"/>
        </w:numPr>
        <w:spacing w:after="200" w:line="276" w:lineRule="auto"/>
        <w:contextualSpacing/>
        <w:jc w:val="both"/>
        <w:rPr>
          <w:rFonts w:cs="Arial"/>
        </w:rPr>
      </w:pPr>
      <w:r w:rsidRPr="00F2492E">
        <w:rPr>
          <w:rFonts w:cs="Arial"/>
        </w:rPr>
        <w:t>the implications for future financial sustainability</w:t>
      </w:r>
    </w:p>
    <w:p w14:paraId="65DEE60B" w14:textId="77777777" w:rsidR="00014D60" w:rsidRPr="00762996" w:rsidRDefault="00014D60" w:rsidP="00014D60">
      <w:pPr>
        <w:jc w:val="both"/>
        <w:rPr>
          <w:rFonts w:cs="Arial"/>
        </w:rPr>
      </w:pPr>
      <w:r w:rsidRPr="00762996">
        <w:rPr>
          <w:rFonts w:cs="Arial"/>
        </w:rPr>
        <w:t xml:space="preserve">This capital strategy meets the requirement by setting out the Council’s capital investment programme and how it contributes to the achievement of strategic priorities </w:t>
      </w:r>
      <w:r>
        <w:rPr>
          <w:rFonts w:cs="Arial"/>
        </w:rPr>
        <w:t>being refreshed through the Borough Plan,</w:t>
      </w:r>
      <w:r w:rsidRPr="00762996">
        <w:rPr>
          <w:rFonts w:cs="Arial"/>
        </w:rPr>
        <w:t xml:space="preserve"> while considering resource availability and the wider financial context. It is intended to be supportive of the Council’s other strategy framework documents. </w:t>
      </w:r>
    </w:p>
    <w:p w14:paraId="332C116F" w14:textId="77777777" w:rsidR="00014D60" w:rsidRDefault="00014D60" w:rsidP="00014D60">
      <w:pPr>
        <w:jc w:val="both"/>
        <w:rPr>
          <w:rFonts w:cs="Arial"/>
          <w:b/>
        </w:rPr>
      </w:pPr>
    </w:p>
    <w:p w14:paraId="3CA59635" w14:textId="77777777" w:rsidR="00014D60" w:rsidRDefault="00014D60" w:rsidP="00014D60">
      <w:pPr>
        <w:numPr>
          <w:ilvl w:val="0"/>
          <w:numId w:val="49"/>
        </w:numPr>
        <w:ind w:hanging="720"/>
        <w:jc w:val="both"/>
        <w:rPr>
          <w:rFonts w:cs="Arial"/>
          <w:b/>
        </w:rPr>
      </w:pPr>
      <w:r w:rsidRPr="003719CB">
        <w:rPr>
          <w:rFonts w:cs="Arial"/>
          <w:b/>
        </w:rPr>
        <w:t xml:space="preserve">Objectives </w:t>
      </w:r>
    </w:p>
    <w:p w14:paraId="378042A6" w14:textId="77777777" w:rsidR="00014D60" w:rsidRPr="003719CB" w:rsidRDefault="00014D60" w:rsidP="00014D60">
      <w:pPr>
        <w:ind w:left="720"/>
        <w:jc w:val="both"/>
        <w:rPr>
          <w:rFonts w:cs="Arial"/>
          <w:b/>
        </w:rPr>
      </w:pPr>
    </w:p>
    <w:p w14:paraId="4E89BA83" w14:textId="77777777" w:rsidR="00014D60" w:rsidRPr="00762996" w:rsidRDefault="00014D60" w:rsidP="00014D60">
      <w:pPr>
        <w:jc w:val="both"/>
        <w:rPr>
          <w:rFonts w:cs="Arial"/>
        </w:rPr>
      </w:pPr>
      <w:r w:rsidRPr="00762996">
        <w:rPr>
          <w:rFonts w:cs="Arial"/>
        </w:rPr>
        <w:t xml:space="preserve">The </w:t>
      </w:r>
      <w:r>
        <w:rPr>
          <w:rFonts w:cs="Arial"/>
        </w:rPr>
        <w:t>strategy details show</w:t>
      </w:r>
      <w:r w:rsidRPr="00762996">
        <w:rPr>
          <w:rFonts w:cs="Arial"/>
        </w:rPr>
        <w:t xml:space="preserve"> how the Council sets out its priorities for Capital investment including links to existing delivery plans and strategy documents. It also considers the ways in which capital expenditure may be financed, including the impact that the Strategy has on the budgets of both the General Fund and the Housing Revenue Account (HRA). The strategy will also set out the links with Treasury Management objectives and determine the authority’s approach to risk in those objectives. </w:t>
      </w:r>
    </w:p>
    <w:p w14:paraId="14C51620" w14:textId="77777777" w:rsidR="00014D60" w:rsidRDefault="00014D60" w:rsidP="00014D60">
      <w:pPr>
        <w:jc w:val="both"/>
        <w:rPr>
          <w:rFonts w:cs="Arial"/>
        </w:rPr>
      </w:pPr>
    </w:p>
    <w:p w14:paraId="67EE77A1" w14:textId="77777777" w:rsidR="00014D60" w:rsidRDefault="00014D60" w:rsidP="00014D60">
      <w:pPr>
        <w:jc w:val="both"/>
        <w:rPr>
          <w:rFonts w:cs="Arial"/>
        </w:rPr>
      </w:pPr>
      <w:r>
        <w:rPr>
          <w:rFonts w:cs="Arial"/>
        </w:rPr>
        <w:t>This document is</w:t>
      </w:r>
      <w:r w:rsidRPr="00762996">
        <w:rPr>
          <w:rFonts w:cs="Arial"/>
        </w:rPr>
        <w:t xml:space="preserve"> part of the Council’s business planning process from both a financial and service perspective. It sets out a framework whereby the authority’s capital resources can be effectively allocated to those projects which may help the Council achieve wider corporate objectives, protect existing assets and support financial sustainability. </w:t>
      </w:r>
    </w:p>
    <w:p w14:paraId="4270498F" w14:textId="77777777" w:rsidR="00014D60" w:rsidRDefault="00014D60" w:rsidP="00014D60">
      <w:pPr>
        <w:ind w:firstLine="284"/>
        <w:jc w:val="both"/>
        <w:rPr>
          <w:rFonts w:cs="Arial"/>
          <w:b/>
        </w:rPr>
      </w:pPr>
    </w:p>
    <w:p w14:paraId="68C2C644" w14:textId="77777777" w:rsidR="00014D60" w:rsidRDefault="00014D60" w:rsidP="00014D60">
      <w:pPr>
        <w:ind w:firstLine="284"/>
        <w:jc w:val="both"/>
        <w:rPr>
          <w:rFonts w:cs="Arial"/>
          <w:b/>
        </w:rPr>
      </w:pPr>
      <w:r w:rsidRPr="00C77C49">
        <w:rPr>
          <w:rFonts w:cs="Arial"/>
          <w:b/>
        </w:rPr>
        <w:t>Principles of the Capital Strategy</w:t>
      </w:r>
    </w:p>
    <w:p w14:paraId="133D1E4F" w14:textId="77777777" w:rsidR="00014D60" w:rsidRPr="00C77C49" w:rsidRDefault="00014D60" w:rsidP="00014D60">
      <w:pPr>
        <w:ind w:firstLine="284"/>
        <w:jc w:val="both"/>
        <w:rPr>
          <w:rFonts w:cs="Arial"/>
        </w:rPr>
      </w:pPr>
    </w:p>
    <w:p w14:paraId="2AC07CFD" w14:textId="77777777" w:rsidR="00014D60" w:rsidRDefault="00014D60" w:rsidP="00014D60">
      <w:pPr>
        <w:numPr>
          <w:ilvl w:val="0"/>
          <w:numId w:val="50"/>
        </w:numPr>
        <w:tabs>
          <w:tab w:val="left" w:pos="284"/>
        </w:tabs>
        <w:jc w:val="both"/>
        <w:rPr>
          <w:rFonts w:cs="Arial"/>
        </w:rPr>
      </w:pPr>
      <w:r w:rsidRPr="00C77C49">
        <w:rPr>
          <w:rFonts w:cs="Arial"/>
        </w:rPr>
        <w:t>Capital Investment is a vital tool in delivering strategic priorities.</w:t>
      </w:r>
    </w:p>
    <w:p w14:paraId="3587C9E8" w14:textId="77777777" w:rsidR="00014D60" w:rsidRPr="00C77C49" w:rsidRDefault="00014D60" w:rsidP="00014D60">
      <w:pPr>
        <w:tabs>
          <w:tab w:val="left" w:pos="284"/>
        </w:tabs>
        <w:ind w:left="720"/>
        <w:jc w:val="both"/>
        <w:rPr>
          <w:rFonts w:cs="Arial"/>
        </w:rPr>
      </w:pPr>
    </w:p>
    <w:p w14:paraId="35599483" w14:textId="77777777" w:rsidR="00014D60" w:rsidRPr="00DE5B22" w:rsidRDefault="00014D60" w:rsidP="00014D60">
      <w:pPr>
        <w:numPr>
          <w:ilvl w:val="0"/>
          <w:numId w:val="50"/>
        </w:numPr>
        <w:jc w:val="both"/>
        <w:rPr>
          <w:rFonts w:cs="Arial"/>
        </w:rPr>
      </w:pPr>
      <w:r>
        <w:rPr>
          <w:rFonts w:cs="Arial"/>
        </w:rPr>
        <w:t>The Capital P</w:t>
      </w:r>
      <w:r w:rsidRPr="00C77C49">
        <w:rPr>
          <w:rFonts w:cs="Arial"/>
        </w:rPr>
        <w:t xml:space="preserve">rogramme will include only these schemes </w:t>
      </w:r>
      <w:r>
        <w:rPr>
          <w:rFonts w:cs="Arial"/>
        </w:rPr>
        <w:t>in accordance with the agreed criteria.</w:t>
      </w:r>
    </w:p>
    <w:p w14:paraId="48A32727" w14:textId="77777777" w:rsidR="00014D60" w:rsidRDefault="00014D60" w:rsidP="00014D60">
      <w:pPr>
        <w:ind w:left="284"/>
        <w:jc w:val="both"/>
        <w:rPr>
          <w:rFonts w:cs="Arial"/>
        </w:rPr>
      </w:pPr>
    </w:p>
    <w:p w14:paraId="3621DA89" w14:textId="77777777" w:rsidR="00014D60" w:rsidRDefault="00014D60" w:rsidP="00014D60">
      <w:pPr>
        <w:numPr>
          <w:ilvl w:val="0"/>
          <w:numId w:val="50"/>
        </w:numPr>
        <w:jc w:val="both"/>
        <w:rPr>
          <w:rFonts w:cs="Arial"/>
        </w:rPr>
      </w:pPr>
      <w:r w:rsidRPr="00C77C49">
        <w:rPr>
          <w:rFonts w:cs="Arial"/>
        </w:rPr>
        <w:t>The Council will consider schemes purely to generate a commercial return</w:t>
      </w:r>
      <w:r>
        <w:rPr>
          <w:rFonts w:cs="Arial"/>
        </w:rPr>
        <w:t xml:space="preserve"> to support </w:t>
      </w:r>
    </w:p>
    <w:p w14:paraId="4BC98BAA" w14:textId="77777777" w:rsidR="00014D60" w:rsidRPr="00C77C49" w:rsidRDefault="00014D60" w:rsidP="00014D60">
      <w:pPr>
        <w:ind w:left="720"/>
        <w:jc w:val="both"/>
        <w:rPr>
          <w:rFonts w:cs="Arial"/>
        </w:rPr>
      </w:pPr>
      <w:r>
        <w:rPr>
          <w:rFonts w:cs="Arial"/>
        </w:rPr>
        <w:t>the budget.</w:t>
      </w:r>
    </w:p>
    <w:p w14:paraId="0DFFE70E" w14:textId="77777777" w:rsidR="00014D60" w:rsidRDefault="00014D60" w:rsidP="00014D60">
      <w:pPr>
        <w:ind w:left="284"/>
        <w:jc w:val="both"/>
        <w:rPr>
          <w:rFonts w:cs="Arial"/>
        </w:rPr>
      </w:pPr>
    </w:p>
    <w:p w14:paraId="2D4FC5F3" w14:textId="77777777" w:rsidR="00014D60" w:rsidRDefault="00014D60" w:rsidP="00014D60">
      <w:pPr>
        <w:numPr>
          <w:ilvl w:val="0"/>
          <w:numId w:val="50"/>
        </w:numPr>
        <w:jc w:val="both"/>
        <w:rPr>
          <w:rFonts w:cs="Arial"/>
        </w:rPr>
      </w:pPr>
      <w:r w:rsidRPr="00C77C49">
        <w:rPr>
          <w:rFonts w:cs="Arial"/>
        </w:rPr>
        <w:t>The evaluation of capital schemes for inclusion on the programme will follow an agreed process which allows scrutiny whilst not limiting innovation and adaptability</w:t>
      </w:r>
      <w:r>
        <w:rPr>
          <w:rFonts w:cs="Arial"/>
        </w:rPr>
        <w:t>.</w:t>
      </w:r>
    </w:p>
    <w:p w14:paraId="6869C827" w14:textId="77777777" w:rsidR="00014D60" w:rsidRDefault="00014D60" w:rsidP="00014D60">
      <w:pPr>
        <w:ind w:left="720"/>
        <w:jc w:val="both"/>
        <w:rPr>
          <w:rFonts w:cs="Arial"/>
        </w:rPr>
      </w:pPr>
    </w:p>
    <w:p w14:paraId="3D3067F2" w14:textId="77777777" w:rsidR="00014D60" w:rsidRDefault="00014D60" w:rsidP="00014D60">
      <w:pPr>
        <w:numPr>
          <w:ilvl w:val="0"/>
          <w:numId w:val="50"/>
        </w:numPr>
        <w:jc w:val="both"/>
        <w:rPr>
          <w:rFonts w:cs="Arial"/>
        </w:rPr>
      </w:pPr>
      <w:r>
        <w:rPr>
          <w:rFonts w:cs="Arial"/>
        </w:rPr>
        <w:lastRenderedPageBreak/>
        <w:t>The funding of the Capital P</w:t>
      </w:r>
      <w:r w:rsidRPr="00C77C49">
        <w:rPr>
          <w:rFonts w:cs="Arial"/>
        </w:rPr>
        <w:t>rogramme must be considered alongside the revenue budget and balance sheet position as part of the Council's Medium Term Financial Strategy (MTFS)</w:t>
      </w:r>
      <w:r>
        <w:rPr>
          <w:rFonts w:cs="Arial"/>
        </w:rPr>
        <w:t>.</w:t>
      </w:r>
    </w:p>
    <w:p w14:paraId="05107859" w14:textId="77777777" w:rsidR="00014D60" w:rsidRPr="00C77C49" w:rsidRDefault="00014D60" w:rsidP="00014D60">
      <w:pPr>
        <w:ind w:left="720"/>
        <w:jc w:val="both"/>
        <w:rPr>
          <w:rFonts w:cs="Arial"/>
        </w:rPr>
      </w:pPr>
    </w:p>
    <w:p w14:paraId="63E5A21B" w14:textId="77777777" w:rsidR="00014D60" w:rsidRPr="00C77C49" w:rsidRDefault="00014D60" w:rsidP="00325E39">
      <w:pPr>
        <w:ind w:left="709" w:hanging="425"/>
        <w:jc w:val="both"/>
        <w:rPr>
          <w:rFonts w:cs="Arial"/>
        </w:rPr>
      </w:pPr>
      <w:r w:rsidRPr="00C77C49">
        <w:rPr>
          <w:rFonts w:cs="Arial"/>
        </w:rPr>
        <w:t>6.</w:t>
      </w:r>
      <w:r>
        <w:rPr>
          <w:rFonts w:cs="Arial"/>
        </w:rPr>
        <w:tab/>
      </w:r>
      <w:r w:rsidRPr="00C77C49">
        <w:rPr>
          <w:rFonts w:cs="Arial"/>
        </w:rPr>
        <w:t>Capital projects will be monitored and reported to Cabinet</w:t>
      </w:r>
      <w:r>
        <w:rPr>
          <w:rFonts w:cs="Arial"/>
        </w:rPr>
        <w:t xml:space="preserve"> on a quarterly basis.</w:t>
      </w:r>
    </w:p>
    <w:p w14:paraId="36CDEF0B" w14:textId="77777777" w:rsidR="00014D60" w:rsidRDefault="00014D60" w:rsidP="00014D60">
      <w:pPr>
        <w:jc w:val="both"/>
        <w:rPr>
          <w:rFonts w:cs="Arial"/>
          <w:b/>
        </w:rPr>
      </w:pPr>
    </w:p>
    <w:p w14:paraId="15583B29" w14:textId="77777777" w:rsidR="00014D60" w:rsidRPr="00C77C49" w:rsidRDefault="00014D60" w:rsidP="00014D60">
      <w:pPr>
        <w:jc w:val="both"/>
        <w:rPr>
          <w:rFonts w:cs="Arial"/>
        </w:rPr>
      </w:pPr>
      <w:r w:rsidRPr="00DB105D">
        <w:rPr>
          <w:rFonts w:cs="Arial"/>
          <w:b/>
        </w:rPr>
        <w:t>3</w:t>
      </w:r>
      <w:r w:rsidRPr="00DB105D">
        <w:rPr>
          <w:rFonts w:cs="Arial"/>
          <w:b/>
          <w:bCs/>
        </w:rPr>
        <w:t>.</w:t>
      </w:r>
      <w:r w:rsidRPr="00C77C49">
        <w:rPr>
          <w:rFonts w:cs="Arial"/>
          <w:b/>
          <w:bCs/>
        </w:rPr>
        <w:t xml:space="preserve"> Background </w:t>
      </w:r>
    </w:p>
    <w:p w14:paraId="74E25647" w14:textId="77777777" w:rsidR="00014D60" w:rsidRDefault="00014D60" w:rsidP="00014D60">
      <w:pPr>
        <w:jc w:val="both"/>
        <w:rPr>
          <w:rFonts w:cs="Arial"/>
        </w:rPr>
      </w:pPr>
    </w:p>
    <w:p w14:paraId="2A14DF73" w14:textId="28EB5DE7" w:rsidR="00014D60" w:rsidRDefault="00014D60" w:rsidP="00014D60">
      <w:pPr>
        <w:jc w:val="both"/>
        <w:rPr>
          <w:rFonts w:cs="Arial"/>
        </w:rPr>
      </w:pPr>
      <w:r w:rsidRPr="00C77C49">
        <w:rPr>
          <w:rFonts w:cs="Arial"/>
        </w:rPr>
        <w:t>As part of its wider treasury management objectives the Council must have regard to the “Prudential Code for Capital Finance in Local Authorities” (henceforth to be referred to as the Prudential Code), as produced by the Chartered Institute of Public Finance &amp; Accountancy (CIPFA). The 201</w:t>
      </w:r>
      <w:r w:rsidR="00325E39">
        <w:rPr>
          <w:rFonts w:cs="Arial"/>
        </w:rPr>
        <w:t>7</w:t>
      </w:r>
      <w:r w:rsidRPr="00C77C49">
        <w:rPr>
          <w:rFonts w:cs="Arial"/>
        </w:rPr>
        <w:t xml:space="preserve"> revision of the Prudential Code introduces the requirement for authorities to produce a Capital Strategy</w:t>
      </w:r>
      <w:r>
        <w:rPr>
          <w:rFonts w:cs="Arial"/>
        </w:rPr>
        <w:t xml:space="preserve"> from 2019/20.</w:t>
      </w:r>
      <w:r w:rsidRPr="00C77C49">
        <w:rPr>
          <w:rFonts w:cs="Arial"/>
        </w:rPr>
        <w:t xml:space="preserve"> </w:t>
      </w:r>
      <w:r>
        <w:rPr>
          <w:rFonts w:cs="Arial"/>
        </w:rPr>
        <w:t xml:space="preserve"> </w:t>
      </w:r>
      <w:r w:rsidRPr="00C77C49">
        <w:rPr>
          <w:rFonts w:cs="Arial"/>
        </w:rPr>
        <w:t>It is a live docum</w:t>
      </w:r>
      <w:r>
        <w:rPr>
          <w:rFonts w:cs="Arial"/>
        </w:rPr>
        <w:t>ent underpinning the Council’s Capital P</w:t>
      </w:r>
      <w:r w:rsidRPr="00C77C49">
        <w:rPr>
          <w:rFonts w:cs="Arial"/>
        </w:rPr>
        <w:t>rogramme</w:t>
      </w:r>
      <w:r>
        <w:rPr>
          <w:rFonts w:cs="Arial"/>
        </w:rPr>
        <w:t xml:space="preserve"> and therefore will be subject to amendment.</w:t>
      </w:r>
    </w:p>
    <w:p w14:paraId="7DCD09C7" w14:textId="77777777" w:rsidR="00014D60" w:rsidRPr="00C77C49" w:rsidRDefault="00014D60" w:rsidP="00014D60">
      <w:pPr>
        <w:jc w:val="both"/>
        <w:rPr>
          <w:rFonts w:cs="Arial"/>
        </w:rPr>
      </w:pPr>
    </w:p>
    <w:p w14:paraId="3DFD10AD" w14:textId="77777777" w:rsidR="00014D60" w:rsidRPr="00C77C49" w:rsidRDefault="00014D60" w:rsidP="00014D60">
      <w:pPr>
        <w:jc w:val="both"/>
        <w:rPr>
          <w:rFonts w:cs="Arial"/>
          <w:b/>
          <w:bCs/>
        </w:rPr>
      </w:pPr>
      <w:r>
        <w:rPr>
          <w:rFonts w:cs="Arial"/>
          <w:b/>
          <w:bCs/>
        </w:rPr>
        <w:t>4</w:t>
      </w:r>
      <w:r w:rsidRPr="00C77C49">
        <w:rPr>
          <w:rFonts w:cs="Arial"/>
          <w:b/>
          <w:bCs/>
        </w:rPr>
        <w:t xml:space="preserve">. Capital Expenditure </w:t>
      </w:r>
    </w:p>
    <w:p w14:paraId="3075A094" w14:textId="77777777" w:rsidR="00014D60" w:rsidRDefault="00014D60" w:rsidP="00014D60">
      <w:pPr>
        <w:jc w:val="both"/>
        <w:rPr>
          <w:rFonts w:cs="Arial"/>
        </w:rPr>
      </w:pPr>
    </w:p>
    <w:p w14:paraId="2B9E1E8A" w14:textId="77777777" w:rsidR="00014D60" w:rsidRDefault="00014D60" w:rsidP="00014D60">
      <w:pPr>
        <w:jc w:val="both"/>
        <w:rPr>
          <w:rFonts w:cs="Arial"/>
        </w:rPr>
      </w:pPr>
      <w:r w:rsidRPr="00C77C49">
        <w:rPr>
          <w:rFonts w:cs="Arial"/>
        </w:rPr>
        <w:t>Capital Expenditure is that which is incurred on the acquisition, creation or enhancement of an asset. These assets can be tangible such as buildings or vehicles, as well as intangible such as software products</w:t>
      </w:r>
      <w:r>
        <w:rPr>
          <w:rFonts w:cs="Arial"/>
        </w:rPr>
        <w:t>.</w:t>
      </w:r>
      <w:r w:rsidRPr="00C77C49">
        <w:rPr>
          <w:rFonts w:cs="Arial"/>
        </w:rPr>
        <w:t xml:space="preserve"> </w:t>
      </w:r>
    </w:p>
    <w:p w14:paraId="6C0666A0" w14:textId="77777777" w:rsidR="00014D60" w:rsidRDefault="00014D60" w:rsidP="00014D60">
      <w:pPr>
        <w:jc w:val="both"/>
        <w:rPr>
          <w:rFonts w:cs="Arial"/>
          <w:b/>
        </w:rPr>
      </w:pPr>
    </w:p>
    <w:p w14:paraId="4C9C07CD" w14:textId="362583F3" w:rsidR="00014D60" w:rsidRPr="00C77C49" w:rsidRDefault="00014D60" w:rsidP="00014D60">
      <w:pPr>
        <w:jc w:val="both"/>
        <w:rPr>
          <w:rFonts w:cs="Arial"/>
        </w:rPr>
      </w:pPr>
      <w:r w:rsidRPr="003719CB">
        <w:rPr>
          <w:rFonts w:cs="Arial"/>
          <w:b/>
        </w:rPr>
        <w:t>5</w:t>
      </w:r>
      <w:r>
        <w:rPr>
          <w:rFonts w:cs="Arial"/>
          <w:b/>
          <w:bCs/>
        </w:rPr>
        <w:t xml:space="preserve">. The </w:t>
      </w:r>
      <w:r w:rsidR="00325E39">
        <w:rPr>
          <w:rFonts w:cs="Arial"/>
          <w:b/>
          <w:bCs/>
        </w:rPr>
        <w:t>l</w:t>
      </w:r>
      <w:r w:rsidRPr="00C77C49">
        <w:rPr>
          <w:rFonts w:cs="Arial"/>
          <w:b/>
          <w:bCs/>
        </w:rPr>
        <w:t xml:space="preserve">ink between Revenue and Capital </w:t>
      </w:r>
    </w:p>
    <w:p w14:paraId="18E43118" w14:textId="77777777" w:rsidR="00014D60" w:rsidRDefault="00014D60" w:rsidP="00014D60">
      <w:pPr>
        <w:jc w:val="both"/>
        <w:rPr>
          <w:rFonts w:cs="Arial"/>
        </w:rPr>
      </w:pPr>
    </w:p>
    <w:p w14:paraId="053C3599" w14:textId="77777777" w:rsidR="00014D60" w:rsidRPr="00C77C49" w:rsidRDefault="00014D60" w:rsidP="00014D60">
      <w:pPr>
        <w:jc w:val="both"/>
        <w:rPr>
          <w:rFonts w:cs="Arial"/>
        </w:rPr>
      </w:pPr>
      <w:r w:rsidRPr="00C77C49">
        <w:rPr>
          <w:rFonts w:cs="Arial"/>
        </w:rPr>
        <w:t>Capital and revenue expenditure are separate components of local authority budgets and funding for each is considered separately. However, a vital component of successful financial planning</w:t>
      </w:r>
      <w:r>
        <w:rPr>
          <w:rFonts w:cs="Arial"/>
        </w:rPr>
        <w:t xml:space="preserve"> is</w:t>
      </w:r>
      <w:r w:rsidRPr="00C77C49">
        <w:rPr>
          <w:rFonts w:cs="Arial"/>
        </w:rPr>
        <w:t xml:space="preserve"> that revenue and capital budgets are intrinsically linked as the impact of capital expenditure must be reflected in revenue budgets. Therefore this capital strategy should be deemed to form a key part of the authority’s medium term financial planning process. </w:t>
      </w:r>
    </w:p>
    <w:p w14:paraId="71E0D3D2" w14:textId="77777777" w:rsidR="00014D60" w:rsidRDefault="00014D60" w:rsidP="00014D60">
      <w:pPr>
        <w:jc w:val="both"/>
        <w:rPr>
          <w:rFonts w:cs="Arial"/>
        </w:rPr>
      </w:pPr>
    </w:p>
    <w:p w14:paraId="592B03B1" w14:textId="77777777" w:rsidR="00014D60" w:rsidRPr="00C77C49" w:rsidRDefault="00014D60" w:rsidP="00014D60">
      <w:pPr>
        <w:jc w:val="both"/>
        <w:rPr>
          <w:rFonts w:cs="Arial"/>
        </w:rPr>
      </w:pPr>
      <w:r w:rsidRPr="00C77C49">
        <w:rPr>
          <w:rFonts w:cs="Arial"/>
        </w:rPr>
        <w:t xml:space="preserve">The impact and affordability of capital expenditure must be </w:t>
      </w:r>
      <w:r>
        <w:rPr>
          <w:rFonts w:cs="Arial"/>
        </w:rPr>
        <w:t>considered</w:t>
      </w:r>
      <w:r w:rsidRPr="00C77C49">
        <w:rPr>
          <w:rFonts w:cs="Arial"/>
        </w:rPr>
        <w:t xml:space="preserve"> </w:t>
      </w:r>
      <w:r>
        <w:rPr>
          <w:rFonts w:cs="Arial"/>
        </w:rPr>
        <w:t xml:space="preserve">in the assessment of </w:t>
      </w:r>
      <w:r w:rsidRPr="00C77C49">
        <w:rPr>
          <w:rFonts w:cs="Arial"/>
        </w:rPr>
        <w:t xml:space="preserve">capital projects at the business case stage. Effective financial planning must </w:t>
      </w:r>
      <w:r>
        <w:rPr>
          <w:rFonts w:cs="Arial"/>
        </w:rPr>
        <w:t>fully reflect the impact of capital plans in the revenue budget</w:t>
      </w:r>
      <w:r w:rsidRPr="00C77C49">
        <w:rPr>
          <w:rFonts w:cs="Arial"/>
        </w:rPr>
        <w:t xml:space="preserve">. </w:t>
      </w:r>
    </w:p>
    <w:p w14:paraId="6239866C" w14:textId="77777777" w:rsidR="00014D60" w:rsidRDefault="00014D60" w:rsidP="00014D60">
      <w:pPr>
        <w:jc w:val="both"/>
        <w:rPr>
          <w:rFonts w:cs="Arial"/>
        </w:rPr>
      </w:pPr>
    </w:p>
    <w:p w14:paraId="59E10DD5" w14:textId="5843E1DC" w:rsidR="00014D60" w:rsidRDefault="00014D60" w:rsidP="00014D60">
      <w:pPr>
        <w:jc w:val="both"/>
        <w:rPr>
          <w:rFonts w:cs="Arial"/>
        </w:rPr>
      </w:pPr>
      <w:r w:rsidRPr="00C77C49">
        <w:rPr>
          <w:rFonts w:cs="Arial"/>
        </w:rPr>
        <w:t xml:space="preserve">The following table sets out some of the key impacts of capital expenditure upon the revenue budget. </w:t>
      </w:r>
    </w:p>
    <w:p w14:paraId="29DC98AB" w14:textId="77777777" w:rsidR="00014D60" w:rsidRPr="00C77C49" w:rsidRDefault="00014D60" w:rsidP="00014D60">
      <w:pPr>
        <w:jc w:val="both"/>
        <w:rPr>
          <w:rFonts w:cs="Arial"/>
        </w:rPr>
      </w:pPr>
    </w:p>
    <w:p w14:paraId="0ED9AE5E" w14:textId="77777777" w:rsidR="00014D60" w:rsidRDefault="00014D60" w:rsidP="00014D60">
      <w:pPr>
        <w:pBdr>
          <w:top w:val="single" w:sz="4" w:space="1" w:color="auto"/>
          <w:left w:val="single" w:sz="4" w:space="4" w:color="auto"/>
          <w:bottom w:val="single" w:sz="4" w:space="1" w:color="auto"/>
          <w:right w:val="single" w:sz="4" w:space="4" w:color="auto"/>
        </w:pBdr>
        <w:spacing w:after="100"/>
        <w:jc w:val="both"/>
        <w:rPr>
          <w:rFonts w:cs="Arial"/>
          <w:b/>
        </w:rPr>
      </w:pPr>
      <w:r w:rsidRPr="00C77C49">
        <w:rPr>
          <w:rFonts w:cs="Arial"/>
          <w:b/>
        </w:rPr>
        <w:t xml:space="preserve">Revenue Savings </w:t>
      </w:r>
    </w:p>
    <w:p w14:paraId="5003023F" w14:textId="77777777" w:rsidR="00014D60" w:rsidRPr="00F2492E" w:rsidRDefault="00014D60" w:rsidP="00014D60">
      <w:pPr>
        <w:pBdr>
          <w:top w:val="single" w:sz="4" w:space="1" w:color="auto"/>
          <w:left w:val="single" w:sz="4" w:space="4" w:color="auto"/>
          <w:bottom w:val="single" w:sz="4" w:space="1" w:color="auto"/>
          <w:right w:val="single" w:sz="4" w:space="4" w:color="auto"/>
        </w:pBdr>
        <w:spacing w:after="100"/>
        <w:jc w:val="both"/>
        <w:rPr>
          <w:rFonts w:cs="Arial"/>
          <w:sz w:val="20"/>
        </w:rPr>
      </w:pPr>
      <w:r w:rsidRPr="00F2492E">
        <w:rPr>
          <w:rFonts w:cs="Arial"/>
          <w:sz w:val="20"/>
        </w:rPr>
        <w:t xml:space="preserve">•Direct Income from assets </w:t>
      </w:r>
    </w:p>
    <w:p w14:paraId="1E7A0A46" w14:textId="77777777" w:rsidR="00014D60" w:rsidRPr="00F2492E" w:rsidRDefault="00014D60" w:rsidP="00014D60">
      <w:pPr>
        <w:pBdr>
          <w:top w:val="single" w:sz="4" w:space="1" w:color="auto"/>
          <w:left w:val="single" w:sz="4" w:space="4" w:color="auto"/>
          <w:bottom w:val="single" w:sz="4" w:space="1" w:color="auto"/>
          <w:right w:val="single" w:sz="4" w:space="4" w:color="auto"/>
        </w:pBdr>
        <w:spacing w:after="100"/>
        <w:jc w:val="both"/>
        <w:rPr>
          <w:rFonts w:cs="Arial"/>
          <w:sz w:val="20"/>
        </w:rPr>
      </w:pPr>
      <w:r w:rsidRPr="00F2492E">
        <w:rPr>
          <w:rFonts w:cs="Arial"/>
          <w:sz w:val="20"/>
        </w:rPr>
        <w:t>•Reduced maintenance costs of new or improved assets</w:t>
      </w:r>
    </w:p>
    <w:p w14:paraId="4AE8DBAC" w14:textId="77777777" w:rsidR="00014D60" w:rsidRPr="00F2492E" w:rsidRDefault="00014D60" w:rsidP="00014D60">
      <w:pPr>
        <w:pBdr>
          <w:top w:val="single" w:sz="4" w:space="1" w:color="auto"/>
          <w:left w:val="single" w:sz="4" w:space="4" w:color="auto"/>
          <w:bottom w:val="single" w:sz="4" w:space="1" w:color="auto"/>
          <w:right w:val="single" w:sz="4" w:space="4" w:color="auto"/>
        </w:pBdr>
        <w:spacing w:after="100"/>
        <w:jc w:val="both"/>
        <w:rPr>
          <w:rFonts w:cs="Arial"/>
          <w:sz w:val="20"/>
        </w:rPr>
      </w:pPr>
      <w:r w:rsidRPr="00F2492E">
        <w:rPr>
          <w:rFonts w:cs="Arial"/>
          <w:sz w:val="20"/>
        </w:rPr>
        <w:t xml:space="preserve">•Savings in labour costs </w:t>
      </w:r>
    </w:p>
    <w:p w14:paraId="624030D2" w14:textId="77777777" w:rsidR="00014D60" w:rsidRPr="00A7114C" w:rsidRDefault="00014D60" w:rsidP="00014D60">
      <w:pPr>
        <w:pBdr>
          <w:top w:val="single" w:sz="4" w:space="1" w:color="auto"/>
          <w:left w:val="single" w:sz="4" w:space="4" w:color="auto"/>
          <w:bottom w:val="single" w:sz="4" w:space="1" w:color="auto"/>
          <w:right w:val="single" w:sz="4" w:space="4" w:color="auto"/>
        </w:pBdr>
        <w:spacing w:after="100"/>
        <w:jc w:val="both"/>
        <w:rPr>
          <w:rFonts w:cs="Arial"/>
          <w:b/>
        </w:rPr>
      </w:pPr>
      <w:r w:rsidRPr="00A7114C">
        <w:rPr>
          <w:rFonts w:cs="Arial"/>
          <w:b/>
        </w:rPr>
        <w:t xml:space="preserve">Revenue Costs </w:t>
      </w:r>
    </w:p>
    <w:p w14:paraId="539DD23D" w14:textId="77777777" w:rsidR="00014D60" w:rsidRPr="00F2492E" w:rsidRDefault="00014D60" w:rsidP="00014D60">
      <w:pPr>
        <w:pBdr>
          <w:top w:val="single" w:sz="4" w:space="1" w:color="auto"/>
          <w:left w:val="single" w:sz="4" w:space="4" w:color="auto"/>
          <w:bottom w:val="single" w:sz="4" w:space="1" w:color="auto"/>
          <w:right w:val="single" w:sz="4" w:space="4" w:color="auto"/>
        </w:pBdr>
        <w:spacing w:after="100"/>
        <w:jc w:val="both"/>
        <w:rPr>
          <w:rFonts w:cs="Arial"/>
          <w:sz w:val="20"/>
        </w:rPr>
      </w:pPr>
      <w:r w:rsidRPr="00A7114C">
        <w:rPr>
          <w:rFonts w:cs="Arial"/>
        </w:rPr>
        <w:t>•</w:t>
      </w:r>
      <w:r w:rsidRPr="00F2492E">
        <w:rPr>
          <w:rFonts w:cs="Arial"/>
          <w:sz w:val="20"/>
        </w:rPr>
        <w:t xml:space="preserve">Running costs of new assets </w:t>
      </w:r>
    </w:p>
    <w:p w14:paraId="689741DA" w14:textId="77777777" w:rsidR="00014D60" w:rsidRPr="00F2492E" w:rsidRDefault="00014D60" w:rsidP="00014D60">
      <w:pPr>
        <w:pBdr>
          <w:top w:val="single" w:sz="4" w:space="1" w:color="auto"/>
          <w:left w:val="single" w:sz="4" w:space="4" w:color="auto"/>
          <w:bottom w:val="single" w:sz="4" w:space="1" w:color="auto"/>
          <w:right w:val="single" w:sz="4" w:space="4" w:color="auto"/>
        </w:pBdr>
        <w:spacing w:after="100"/>
        <w:jc w:val="both"/>
        <w:rPr>
          <w:rFonts w:cs="Arial"/>
          <w:sz w:val="20"/>
        </w:rPr>
      </w:pPr>
      <w:r w:rsidRPr="00F2492E">
        <w:rPr>
          <w:rFonts w:cs="Arial"/>
          <w:sz w:val="20"/>
        </w:rPr>
        <w:t xml:space="preserve">•Minimum Revenue Provision (loan principal) </w:t>
      </w:r>
    </w:p>
    <w:p w14:paraId="0DC64448" w14:textId="77777777" w:rsidR="00014D60" w:rsidRPr="00F2492E" w:rsidRDefault="00014D60" w:rsidP="00014D60">
      <w:pPr>
        <w:pBdr>
          <w:top w:val="single" w:sz="4" w:space="1" w:color="auto"/>
          <w:left w:val="single" w:sz="4" w:space="4" w:color="auto"/>
          <w:bottom w:val="single" w:sz="4" w:space="1" w:color="auto"/>
          <w:right w:val="single" w:sz="4" w:space="4" w:color="auto"/>
        </w:pBdr>
        <w:spacing w:after="100"/>
        <w:jc w:val="both"/>
        <w:rPr>
          <w:rFonts w:cs="Arial"/>
          <w:sz w:val="20"/>
        </w:rPr>
      </w:pPr>
      <w:r w:rsidRPr="00F2492E">
        <w:rPr>
          <w:rFonts w:cs="Arial"/>
          <w:sz w:val="20"/>
        </w:rPr>
        <w:t xml:space="preserve">•Interest costs from borrowing  </w:t>
      </w:r>
    </w:p>
    <w:p w14:paraId="0A3629D8" w14:textId="77777777" w:rsidR="00014D60" w:rsidRDefault="00014D60" w:rsidP="00014D60">
      <w:pPr>
        <w:rPr>
          <w:rFonts w:cs="Arial"/>
        </w:rPr>
      </w:pPr>
    </w:p>
    <w:p w14:paraId="1B5314D8" w14:textId="77777777" w:rsidR="00BF7865" w:rsidRPr="00D71B85" w:rsidRDefault="00BF7865" w:rsidP="00BF7865">
      <w:pPr>
        <w:rPr>
          <w:rFonts w:cs="Arial"/>
        </w:rPr>
      </w:pPr>
      <w:r w:rsidRPr="00D71B85">
        <w:rPr>
          <w:rFonts w:cs="Arial"/>
        </w:rPr>
        <w:t xml:space="preserve">As an indication of the current cost of the existing capital programme, the table below shows the capital financing costs that are already factored into the </w:t>
      </w:r>
      <w:r w:rsidRPr="00D71B85">
        <w:rPr>
          <w:rFonts w:cs="Arial"/>
        </w:rPr>
        <w:lastRenderedPageBreak/>
        <w:t>existing MTFS for 2020/21 to 2023/24 in relation to the existing and historic capital programmes:</w:t>
      </w:r>
      <w:r w:rsidRPr="00D71B85" w:rsidDel="00062752">
        <w:rPr>
          <w:rFonts w:cs="Arial"/>
        </w:rPr>
        <w:t xml:space="preserve"> </w:t>
      </w:r>
    </w:p>
    <w:p w14:paraId="5D536BBF" w14:textId="77777777" w:rsidR="00BF7865" w:rsidRPr="00325E39" w:rsidRDefault="00BF7865" w:rsidP="00BF7865">
      <w:pPr>
        <w:rPr>
          <w:rFonts w:cs="Arial"/>
          <w:highlight w:val="yellow"/>
        </w:rPr>
      </w:pP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366"/>
        <w:gridCol w:w="1367"/>
        <w:gridCol w:w="1367"/>
        <w:gridCol w:w="1367"/>
      </w:tblGrid>
      <w:tr w:rsidR="00BF7865" w:rsidRPr="00D71B85" w14:paraId="661B79D3" w14:textId="77777777" w:rsidTr="00BF7865">
        <w:trPr>
          <w:trHeight w:hRule="exact" w:val="294"/>
          <w:jc w:val="center"/>
        </w:trPr>
        <w:tc>
          <w:tcPr>
            <w:tcW w:w="3828" w:type="dxa"/>
            <w:shd w:val="clear" w:color="auto" w:fill="auto"/>
            <w:vAlign w:val="center"/>
          </w:tcPr>
          <w:p w14:paraId="645970F3" w14:textId="77777777" w:rsidR="00BF7865" w:rsidRPr="00D71B85" w:rsidRDefault="00BF7865" w:rsidP="00BF7865">
            <w:pPr>
              <w:rPr>
                <w:rFonts w:cs="Arial"/>
              </w:rPr>
            </w:pPr>
          </w:p>
        </w:tc>
        <w:tc>
          <w:tcPr>
            <w:tcW w:w="1366" w:type="dxa"/>
            <w:vAlign w:val="center"/>
          </w:tcPr>
          <w:p w14:paraId="564F1010" w14:textId="77777777" w:rsidR="00BF7865" w:rsidRPr="00D71B85" w:rsidRDefault="00BF7865" w:rsidP="00BF7865">
            <w:pPr>
              <w:jc w:val="center"/>
              <w:rPr>
                <w:rFonts w:cs="Arial"/>
                <w:b/>
              </w:rPr>
            </w:pPr>
            <w:r w:rsidRPr="00D71B85">
              <w:rPr>
                <w:rFonts w:cs="Arial"/>
                <w:b/>
              </w:rPr>
              <w:t>2020/21</w:t>
            </w:r>
          </w:p>
        </w:tc>
        <w:tc>
          <w:tcPr>
            <w:tcW w:w="1367" w:type="dxa"/>
            <w:shd w:val="clear" w:color="auto" w:fill="auto"/>
            <w:vAlign w:val="center"/>
          </w:tcPr>
          <w:p w14:paraId="32282455" w14:textId="77777777" w:rsidR="00BF7865" w:rsidRPr="00D71B85" w:rsidRDefault="00BF7865" w:rsidP="00BF7865">
            <w:pPr>
              <w:jc w:val="center"/>
              <w:rPr>
                <w:rFonts w:cs="Arial"/>
                <w:b/>
              </w:rPr>
            </w:pPr>
            <w:r w:rsidRPr="00D71B85">
              <w:rPr>
                <w:rFonts w:cs="Arial"/>
                <w:b/>
              </w:rPr>
              <w:t>2021/22</w:t>
            </w:r>
          </w:p>
        </w:tc>
        <w:tc>
          <w:tcPr>
            <w:tcW w:w="1367" w:type="dxa"/>
            <w:shd w:val="clear" w:color="auto" w:fill="auto"/>
            <w:vAlign w:val="center"/>
          </w:tcPr>
          <w:p w14:paraId="4906A7A5" w14:textId="77777777" w:rsidR="00BF7865" w:rsidRPr="00D71B85" w:rsidRDefault="00BF7865" w:rsidP="00BF7865">
            <w:pPr>
              <w:jc w:val="center"/>
              <w:rPr>
                <w:rFonts w:cs="Arial"/>
                <w:b/>
              </w:rPr>
            </w:pPr>
            <w:r w:rsidRPr="00D71B85">
              <w:rPr>
                <w:rFonts w:cs="Arial"/>
                <w:b/>
              </w:rPr>
              <w:t>2022/23</w:t>
            </w:r>
          </w:p>
        </w:tc>
        <w:tc>
          <w:tcPr>
            <w:tcW w:w="1367" w:type="dxa"/>
            <w:shd w:val="clear" w:color="auto" w:fill="auto"/>
            <w:vAlign w:val="center"/>
          </w:tcPr>
          <w:p w14:paraId="1F5A4BD2" w14:textId="77777777" w:rsidR="00BF7865" w:rsidRPr="00D71B85" w:rsidRDefault="00BF7865" w:rsidP="00BF7865">
            <w:pPr>
              <w:jc w:val="center"/>
              <w:rPr>
                <w:rFonts w:cs="Arial"/>
                <w:b/>
              </w:rPr>
            </w:pPr>
            <w:r w:rsidRPr="00D71B85">
              <w:rPr>
                <w:rFonts w:cs="Arial"/>
                <w:b/>
              </w:rPr>
              <w:t>2023/24</w:t>
            </w:r>
          </w:p>
        </w:tc>
      </w:tr>
      <w:tr w:rsidR="00BF7865" w:rsidRPr="00D71B85" w14:paraId="365E946F" w14:textId="77777777" w:rsidTr="00BF7865">
        <w:trPr>
          <w:trHeight w:hRule="exact" w:val="272"/>
          <w:jc w:val="center"/>
        </w:trPr>
        <w:tc>
          <w:tcPr>
            <w:tcW w:w="3828" w:type="dxa"/>
            <w:shd w:val="clear" w:color="auto" w:fill="auto"/>
            <w:vAlign w:val="center"/>
          </w:tcPr>
          <w:p w14:paraId="471D78E1" w14:textId="77777777" w:rsidR="00BF7865" w:rsidRPr="00D71B85" w:rsidRDefault="00BF7865" w:rsidP="00BF7865">
            <w:pPr>
              <w:rPr>
                <w:rFonts w:cs="Arial"/>
                <w:b/>
              </w:rPr>
            </w:pPr>
            <w:r w:rsidRPr="00D71B85">
              <w:rPr>
                <w:rFonts w:cs="Arial"/>
                <w:b/>
              </w:rPr>
              <w:t>General Fund</w:t>
            </w:r>
          </w:p>
        </w:tc>
        <w:tc>
          <w:tcPr>
            <w:tcW w:w="1366" w:type="dxa"/>
            <w:vAlign w:val="center"/>
          </w:tcPr>
          <w:p w14:paraId="50B338C9" w14:textId="77777777" w:rsidR="00BF7865" w:rsidRPr="00D71B85" w:rsidRDefault="00BF7865" w:rsidP="00BF7865">
            <w:pPr>
              <w:jc w:val="center"/>
              <w:rPr>
                <w:rFonts w:cs="Arial"/>
                <w:b/>
              </w:rPr>
            </w:pPr>
            <w:r w:rsidRPr="00D71B85">
              <w:rPr>
                <w:rFonts w:cs="Arial"/>
                <w:b/>
              </w:rPr>
              <w:t>£000</w:t>
            </w:r>
          </w:p>
        </w:tc>
        <w:tc>
          <w:tcPr>
            <w:tcW w:w="1367" w:type="dxa"/>
            <w:shd w:val="clear" w:color="auto" w:fill="auto"/>
            <w:vAlign w:val="center"/>
          </w:tcPr>
          <w:p w14:paraId="06966A30" w14:textId="77777777" w:rsidR="00BF7865" w:rsidRPr="00D71B85" w:rsidRDefault="00BF7865" w:rsidP="00BF7865">
            <w:pPr>
              <w:jc w:val="center"/>
              <w:rPr>
                <w:rFonts w:cs="Arial"/>
                <w:b/>
              </w:rPr>
            </w:pPr>
            <w:r w:rsidRPr="00D71B85">
              <w:rPr>
                <w:rFonts w:cs="Arial"/>
                <w:b/>
              </w:rPr>
              <w:t>£000</w:t>
            </w:r>
          </w:p>
        </w:tc>
        <w:tc>
          <w:tcPr>
            <w:tcW w:w="1367" w:type="dxa"/>
            <w:shd w:val="clear" w:color="auto" w:fill="auto"/>
            <w:vAlign w:val="center"/>
          </w:tcPr>
          <w:p w14:paraId="53746DE1" w14:textId="77777777" w:rsidR="00BF7865" w:rsidRPr="00D71B85" w:rsidRDefault="00BF7865" w:rsidP="00BF7865">
            <w:pPr>
              <w:jc w:val="center"/>
              <w:rPr>
                <w:rFonts w:cs="Arial"/>
                <w:b/>
              </w:rPr>
            </w:pPr>
            <w:r w:rsidRPr="00D71B85">
              <w:rPr>
                <w:rFonts w:cs="Arial"/>
                <w:b/>
              </w:rPr>
              <w:t>£000</w:t>
            </w:r>
          </w:p>
        </w:tc>
        <w:tc>
          <w:tcPr>
            <w:tcW w:w="1367" w:type="dxa"/>
            <w:shd w:val="clear" w:color="auto" w:fill="auto"/>
            <w:vAlign w:val="center"/>
          </w:tcPr>
          <w:p w14:paraId="34A844A7" w14:textId="77777777" w:rsidR="00BF7865" w:rsidRPr="00D71B85" w:rsidRDefault="00BF7865" w:rsidP="00BF7865">
            <w:pPr>
              <w:jc w:val="center"/>
              <w:rPr>
                <w:rFonts w:cs="Arial"/>
                <w:b/>
              </w:rPr>
            </w:pPr>
            <w:r w:rsidRPr="00D71B85">
              <w:rPr>
                <w:rFonts w:cs="Arial"/>
                <w:b/>
              </w:rPr>
              <w:t>£000</w:t>
            </w:r>
          </w:p>
        </w:tc>
      </w:tr>
      <w:tr w:rsidR="00BF7865" w:rsidRPr="00D71B85" w14:paraId="182E68CA" w14:textId="77777777" w:rsidTr="00BF7865">
        <w:trPr>
          <w:trHeight w:hRule="exact" w:val="290"/>
          <w:jc w:val="center"/>
        </w:trPr>
        <w:tc>
          <w:tcPr>
            <w:tcW w:w="3828" w:type="dxa"/>
            <w:shd w:val="clear" w:color="auto" w:fill="auto"/>
            <w:vAlign w:val="bottom"/>
          </w:tcPr>
          <w:p w14:paraId="65713107" w14:textId="77777777" w:rsidR="00BF7865" w:rsidRPr="00D71B85" w:rsidRDefault="00BF7865" w:rsidP="00BF7865">
            <w:pPr>
              <w:rPr>
                <w:rFonts w:cs="Arial"/>
              </w:rPr>
            </w:pPr>
            <w:r w:rsidRPr="00D71B85">
              <w:rPr>
                <w:rFonts w:cs="Arial"/>
              </w:rPr>
              <w:t>Capital Financing Costs</w:t>
            </w:r>
          </w:p>
        </w:tc>
        <w:tc>
          <w:tcPr>
            <w:tcW w:w="1366" w:type="dxa"/>
            <w:vAlign w:val="center"/>
          </w:tcPr>
          <w:p w14:paraId="4272B70E" w14:textId="77777777" w:rsidR="00BF7865" w:rsidRPr="00D71B85" w:rsidRDefault="00BF7865" w:rsidP="00BF7865">
            <w:pPr>
              <w:jc w:val="center"/>
              <w:rPr>
                <w:rFonts w:cs="Arial"/>
              </w:rPr>
            </w:pPr>
            <w:r w:rsidRPr="00D71B85">
              <w:rPr>
                <w:rFonts w:cs="Arial"/>
              </w:rPr>
              <w:t>3</w:t>
            </w:r>
            <w:r>
              <w:rPr>
                <w:rFonts w:cs="Arial"/>
              </w:rPr>
              <w:t>0</w:t>
            </w:r>
            <w:r w:rsidRPr="00D71B85">
              <w:rPr>
                <w:rFonts w:cs="Arial"/>
              </w:rPr>
              <w:t>,7</w:t>
            </w:r>
            <w:r>
              <w:rPr>
                <w:rFonts w:cs="Arial"/>
              </w:rPr>
              <w:t>86</w:t>
            </w:r>
          </w:p>
        </w:tc>
        <w:tc>
          <w:tcPr>
            <w:tcW w:w="1367" w:type="dxa"/>
            <w:shd w:val="clear" w:color="auto" w:fill="auto"/>
            <w:vAlign w:val="center"/>
          </w:tcPr>
          <w:p w14:paraId="45E561F0" w14:textId="77777777" w:rsidR="00BF7865" w:rsidRPr="00D71B85" w:rsidRDefault="00BF7865" w:rsidP="00BF7865">
            <w:pPr>
              <w:jc w:val="center"/>
              <w:rPr>
                <w:rFonts w:cs="Arial"/>
              </w:rPr>
            </w:pPr>
            <w:r w:rsidRPr="00D71B85">
              <w:rPr>
                <w:rFonts w:cs="Arial"/>
              </w:rPr>
              <w:t>32,452</w:t>
            </w:r>
          </w:p>
        </w:tc>
        <w:tc>
          <w:tcPr>
            <w:tcW w:w="1367" w:type="dxa"/>
            <w:shd w:val="clear" w:color="auto" w:fill="auto"/>
            <w:vAlign w:val="center"/>
          </w:tcPr>
          <w:p w14:paraId="0BEB0377" w14:textId="77777777" w:rsidR="00BF7865" w:rsidRPr="00D71B85" w:rsidRDefault="00BF7865" w:rsidP="00BF7865">
            <w:pPr>
              <w:jc w:val="center"/>
              <w:rPr>
                <w:rFonts w:cs="Arial"/>
              </w:rPr>
            </w:pPr>
            <w:r w:rsidRPr="00D71B85">
              <w:rPr>
                <w:rFonts w:cs="Arial"/>
              </w:rPr>
              <w:t>36,983</w:t>
            </w:r>
          </w:p>
        </w:tc>
        <w:tc>
          <w:tcPr>
            <w:tcW w:w="1367" w:type="dxa"/>
            <w:shd w:val="clear" w:color="auto" w:fill="auto"/>
            <w:vAlign w:val="center"/>
          </w:tcPr>
          <w:p w14:paraId="51F0A673" w14:textId="77777777" w:rsidR="00BF7865" w:rsidRPr="00D71B85" w:rsidRDefault="00BF7865" w:rsidP="00BF7865">
            <w:pPr>
              <w:jc w:val="center"/>
              <w:rPr>
                <w:rFonts w:cs="Arial"/>
              </w:rPr>
            </w:pPr>
            <w:r w:rsidRPr="00D71B85">
              <w:rPr>
                <w:rFonts w:cs="Arial"/>
              </w:rPr>
              <w:t>38,053</w:t>
            </w:r>
          </w:p>
        </w:tc>
      </w:tr>
      <w:tr w:rsidR="00BF7865" w:rsidRPr="00D71B85" w14:paraId="0EF8ED56" w14:textId="77777777" w:rsidTr="00BF7865">
        <w:trPr>
          <w:trHeight w:hRule="exact" w:val="652"/>
          <w:jc w:val="center"/>
        </w:trPr>
        <w:tc>
          <w:tcPr>
            <w:tcW w:w="3828" w:type="dxa"/>
            <w:shd w:val="clear" w:color="auto" w:fill="auto"/>
            <w:vAlign w:val="bottom"/>
          </w:tcPr>
          <w:p w14:paraId="4776CD26" w14:textId="77777777" w:rsidR="00BF7865" w:rsidRPr="00D71B85" w:rsidRDefault="00BF7865" w:rsidP="00BF7865">
            <w:pPr>
              <w:rPr>
                <w:rFonts w:cs="Arial"/>
              </w:rPr>
            </w:pPr>
            <w:r w:rsidRPr="00D71B85">
              <w:rPr>
                <w:rFonts w:cs="Arial"/>
              </w:rPr>
              <w:t>Capital Financing Costs as % of 2020/21 Net Budget</w:t>
            </w:r>
          </w:p>
        </w:tc>
        <w:tc>
          <w:tcPr>
            <w:tcW w:w="1366" w:type="dxa"/>
            <w:vAlign w:val="center"/>
          </w:tcPr>
          <w:p w14:paraId="33A8F463" w14:textId="77777777" w:rsidR="00BF7865" w:rsidRPr="00D71B85" w:rsidRDefault="00BF7865" w:rsidP="00BF7865">
            <w:pPr>
              <w:jc w:val="center"/>
              <w:rPr>
                <w:rFonts w:cs="Arial"/>
              </w:rPr>
            </w:pPr>
            <w:r w:rsidRPr="00D71B85">
              <w:rPr>
                <w:rFonts w:cs="Arial"/>
              </w:rPr>
              <w:t>18%</w:t>
            </w:r>
          </w:p>
        </w:tc>
        <w:tc>
          <w:tcPr>
            <w:tcW w:w="1367" w:type="dxa"/>
            <w:shd w:val="clear" w:color="auto" w:fill="auto"/>
            <w:vAlign w:val="center"/>
          </w:tcPr>
          <w:p w14:paraId="73B43BAD" w14:textId="77777777" w:rsidR="00BF7865" w:rsidRPr="00D71B85" w:rsidRDefault="00BF7865" w:rsidP="00BF7865">
            <w:pPr>
              <w:jc w:val="center"/>
              <w:rPr>
                <w:rFonts w:cs="Arial"/>
              </w:rPr>
            </w:pPr>
            <w:r w:rsidRPr="00D71B85">
              <w:rPr>
                <w:rFonts w:cs="Arial"/>
              </w:rPr>
              <w:t>19%</w:t>
            </w:r>
          </w:p>
        </w:tc>
        <w:tc>
          <w:tcPr>
            <w:tcW w:w="1367" w:type="dxa"/>
            <w:shd w:val="clear" w:color="auto" w:fill="auto"/>
            <w:vAlign w:val="center"/>
          </w:tcPr>
          <w:p w14:paraId="64624126" w14:textId="77777777" w:rsidR="00BF7865" w:rsidRPr="00D71B85" w:rsidRDefault="00BF7865" w:rsidP="00BF7865">
            <w:pPr>
              <w:jc w:val="center"/>
              <w:rPr>
                <w:rFonts w:cs="Arial"/>
              </w:rPr>
            </w:pPr>
            <w:r w:rsidRPr="00D71B85">
              <w:rPr>
                <w:rFonts w:cs="Arial"/>
              </w:rPr>
              <w:t>21%</w:t>
            </w:r>
          </w:p>
        </w:tc>
        <w:tc>
          <w:tcPr>
            <w:tcW w:w="1367" w:type="dxa"/>
            <w:shd w:val="clear" w:color="auto" w:fill="auto"/>
            <w:vAlign w:val="center"/>
          </w:tcPr>
          <w:p w14:paraId="286A3ED3" w14:textId="77777777" w:rsidR="00BF7865" w:rsidRPr="00D71B85" w:rsidRDefault="00BF7865" w:rsidP="00BF7865">
            <w:pPr>
              <w:jc w:val="center"/>
              <w:rPr>
                <w:rFonts w:cs="Arial"/>
              </w:rPr>
            </w:pPr>
            <w:r w:rsidRPr="00D71B85">
              <w:rPr>
                <w:rFonts w:cs="Arial"/>
              </w:rPr>
              <w:t>22%</w:t>
            </w:r>
          </w:p>
        </w:tc>
      </w:tr>
    </w:tbl>
    <w:p w14:paraId="1B18A733" w14:textId="378AC2CC" w:rsidR="00014D60" w:rsidRDefault="00014D60" w:rsidP="00014D60">
      <w:pPr>
        <w:jc w:val="both"/>
        <w:rPr>
          <w:rFonts w:cs="Arial"/>
        </w:rPr>
      </w:pPr>
    </w:p>
    <w:p w14:paraId="5A6EEBC3" w14:textId="77777777" w:rsidR="00014D60" w:rsidRDefault="00014D60" w:rsidP="00014D60">
      <w:pPr>
        <w:jc w:val="both"/>
        <w:rPr>
          <w:rFonts w:cs="Arial"/>
          <w:b/>
          <w:bCs/>
        </w:rPr>
      </w:pPr>
    </w:p>
    <w:p w14:paraId="6C577B44" w14:textId="77777777" w:rsidR="00014D60" w:rsidRDefault="00014D60" w:rsidP="00014D60">
      <w:pPr>
        <w:numPr>
          <w:ilvl w:val="0"/>
          <w:numId w:val="50"/>
        </w:numPr>
        <w:ind w:hanging="720"/>
        <w:jc w:val="both"/>
        <w:rPr>
          <w:rFonts w:cs="Arial"/>
          <w:b/>
          <w:bCs/>
        </w:rPr>
      </w:pPr>
      <w:r w:rsidRPr="00C77C49">
        <w:rPr>
          <w:rFonts w:cs="Arial"/>
          <w:b/>
          <w:bCs/>
        </w:rPr>
        <w:t xml:space="preserve">The Purpose of Capital Investment </w:t>
      </w:r>
    </w:p>
    <w:p w14:paraId="7320E154" w14:textId="77777777" w:rsidR="00014D60" w:rsidRPr="00C77C49" w:rsidRDefault="00014D60" w:rsidP="00014D60">
      <w:pPr>
        <w:ind w:left="720"/>
        <w:jc w:val="both"/>
        <w:rPr>
          <w:rFonts w:cs="Arial"/>
        </w:rPr>
      </w:pPr>
    </w:p>
    <w:p w14:paraId="4F7136A5" w14:textId="77777777" w:rsidR="00014D60" w:rsidRPr="00C77C49" w:rsidRDefault="00014D60" w:rsidP="00014D60">
      <w:pPr>
        <w:jc w:val="both"/>
        <w:rPr>
          <w:rFonts w:cs="Arial"/>
        </w:rPr>
      </w:pPr>
      <w:r>
        <w:rPr>
          <w:rFonts w:cs="Arial"/>
        </w:rPr>
        <w:t>Investment through c</w:t>
      </w:r>
      <w:r w:rsidRPr="00C77C49">
        <w:rPr>
          <w:rFonts w:cs="Arial"/>
        </w:rPr>
        <w:t xml:space="preserve">apital </w:t>
      </w:r>
      <w:r>
        <w:rPr>
          <w:rFonts w:cs="Arial"/>
        </w:rPr>
        <w:t>e</w:t>
      </w:r>
      <w:r w:rsidRPr="00C77C49">
        <w:rPr>
          <w:rFonts w:cs="Arial"/>
        </w:rPr>
        <w:t xml:space="preserve">xpenditure may serve a number of purposes; these can typically be classified as being related to service priorities and commercial investments. </w:t>
      </w:r>
    </w:p>
    <w:p w14:paraId="454A3DC5" w14:textId="77777777" w:rsidR="00014D60" w:rsidRDefault="00014D60" w:rsidP="00014D60">
      <w:pPr>
        <w:jc w:val="both"/>
        <w:rPr>
          <w:rFonts w:cs="Arial"/>
        </w:rPr>
      </w:pPr>
    </w:p>
    <w:p w14:paraId="4C3082A3" w14:textId="77777777" w:rsidR="00014D60" w:rsidRPr="00C77C49" w:rsidRDefault="00014D60" w:rsidP="00014D60">
      <w:pPr>
        <w:jc w:val="both"/>
        <w:rPr>
          <w:rFonts w:cs="Arial"/>
        </w:rPr>
      </w:pPr>
      <w:r w:rsidRPr="00BF7865">
        <w:rPr>
          <w:rFonts w:cs="Arial"/>
        </w:rPr>
        <w:t>Commercial investments are those which are entered into with the explicit objectives of returning a surplus for Council and therefore improving the financial sustainability of the Council. These may include:</w:t>
      </w:r>
      <w:r w:rsidRPr="00C77C49">
        <w:rPr>
          <w:rFonts w:cs="Arial"/>
        </w:rPr>
        <w:t xml:space="preserve"> </w:t>
      </w:r>
    </w:p>
    <w:p w14:paraId="7C107968" w14:textId="77777777" w:rsidR="00014D60" w:rsidRPr="00C77C49" w:rsidRDefault="00014D60" w:rsidP="00325E39">
      <w:pPr>
        <w:numPr>
          <w:ilvl w:val="0"/>
          <w:numId w:val="44"/>
        </w:numPr>
        <w:spacing w:line="276" w:lineRule="auto"/>
        <w:ind w:hanging="436"/>
        <w:jc w:val="both"/>
        <w:rPr>
          <w:rFonts w:cs="Arial"/>
        </w:rPr>
      </w:pPr>
      <w:r w:rsidRPr="00C77C49">
        <w:rPr>
          <w:rFonts w:cs="Arial"/>
        </w:rPr>
        <w:t xml:space="preserve">Acquisition of Property to deliver a commercial return, usually through rental </w:t>
      </w:r>
    </w:p>
    <w:p w14:paraId="1F0E94F4" w14:textId="77777777" w:rsidR="00014D60" w:rsidRPr="00C77C49" w:rsidRDefault="00014D60" w:rsidP="00325E39">
      <w:pPr>
        <w:numPr>
          <w:ilvl w:val="0"/>
          <w:numId w:val="44"/>
        </w:numPr>
        <w:spacing w:line="276" w:lineRule="auto"/>
        <w:ind w:hanging="436"/>
        <w:jc w:val="both"/>
        <w:rPr>
          <w:rFonts w:cs="Arial"/>
        </w:rPr>
      </w:pPr>
      <w:r w:rsidRPr="00C77C49">
        <w:rPr>
          <w:rFonts w:cs="Arial"/>
        </w:rPr>
        <w:t xml:space="preserve">Investments in outside organisations with the view to making a return </w:t>
      </w:r>
    </w:p>
    <w:p w14:paraId="0D750606" w14:textId="77777777" w:rsidR="00014D60" w:rsidRPr="00DE5B22" w:rsidRDefault="00014D60" w:rsidP="00325E39">
      <w:pPr>
        <w:numPr>
          <w:ilvl w:val="0"/>
          <w:numId w:val="44"/>
        </w:numPr>
        <w:spacing w:line="276" w:lineRule="auto"/>
        <w:ind w:hanging="436"/>
        <w:jc w:val="both"/>
        <w:rPr>
          <w:rFonts w:cs="Arial"/>
        </w:rPr>
      </w:pPr>
      <w:r w:rsidRPr="00C77C49">
        <w:rPr>
          <w:rFonts w:cs="Arial"/>
        </w:rPr>
        <w:t xml:space="preserve">Investments which neither deliver a financial return nor achieve a service objective for the Council should not be considered for inclusion on the Capital Programme. </w:t>
      </w:r>
    </w:p>
    <w:p w14:paraId="5D74BC31" w14:textId="77777777" w:rsidR="00014D60" w:rsidRPr="00C77C49" w:rsidRDefault="00014D60" w:rsidP="00014D60">
      <w:pPr>
        <w:jc w:val="both"/>
        <w:rPr>
          <w:rFonts w:cs="Arial"/>
        </w:rPr>
      </w:pPr>
    </w:p>
    <w:p w14:paraId="62647D7D" w14:textId="77777777" w:rsidR="00014D60" w:rsidRPr="00C77C49" w:rsidRDefault="00014D60" w:rsidP="00014D60">
      <w:pPr>
        <w:jc w:val="both"/>
        <w:rPr>
          <w:rFonts w:cs="Arial"/>
        </w:rPr>
      </w:pPr>
      <w:r>
        <w:rPr>
          <w:rFonts w:cs="Arial"/>
          <w:b/>
          <w:bCs/>
        </w:rPr>
        <w:t>7</w:t>
      </w:r>
      <w:r w:rsidRPr="00C77C49">
        <w:rPr>
          <w:rFonts w:cs="Arial"/>
          <w:b/>
          <w:bCs/>
        </w:rPr>
        <w:t xml:space="preserve">. </w:t>
      </w:r>
      <w:r>
        <w:rPr>
          <w:rFonts w:cs="Arial"/>
          <w:b/>
          <w:bCs/>
        </w:rPr>
        <w:tab/>
      </w:r>
      <w:r w:rsidRPr="00C77C49">
        <w:rPr>
          <w:rFonts w:cs="Arial"/>
          <w:b/>
          <w:bCs/>
        </w:rPr>
        <w:t xml:space="preserve">Existing Capital Priorities </w:t>
      </w:r>
    </w:p>
    <w:p w14:paraId="442F0E82" w14:textId="77777777" w:rsidR="00014D60" w:rsidRDefault="00014D60" w:rsidP="00014D60">
      <w:pPr>
        <w:tabs>
          <w:tab w:val="num" w:pos="567"/>
          <w:tab w:val="num" w:pos="1985"/>
        </w:tabs>
        <w:jc w:val="both"/>
        <w:rPr>
          <w:rFonts w:cs="Arial"/>
        </w:rPr>
      </w:pPr>
    </w:p>
    <w:p w14:paraId="5C4C72DB" w14:textId="16A1BFDA" w:rsidR="00014D60" w:rsidRPr="00C77C49" w:rsidRDefault="00014D60" w:rsidP="00014D60">
      <w:pPr>
        <w:tabs>
          <w:tab w:val="num" w:pos="567"/>
          <w:tab w:val="num" w:pos="1985"/>
        </w:tabs>
        <w:jc w:val="both"/>
        <w:rPr>
          <w:rFonts w:cs="Arial"/>
        </w:rPr>
      </w:pPr>
      <w:r w:rsidRPr="00403A1C">
        <w:rPr>
          <w:rFonts w:cs="Arial"/>
        </w:rPr>
        <w:t>Service directorates were invited to bid for capital resources, as part of their service proposals for 2020/21 to 202</w:t>
      </w:r>
      <w:r w:rsidR="00BF7865">
        <w:rPr>
          <w:rFonts w:cs="Arial"/>
        </w:rPr>
        <w:t>3</w:t>
      </w:r>
      <w:r w:rsidRPr="00403A1C">
        <w:rPr>
          <w:rFonts w:cs="Arial"/>
        </w:rPr>
        <w:t>/2</w:t>
      </w:r>
      <w:r w:rsidR="00BF7865">
        <w:rPr>
          <w:rFonts w:cs="Arial"/>
        </w:rPr>
        <w:t>4</w:t>
      </w:r>
      <w:r w:rsidRPr="00403A1C">
        <w:rPr>
          <w:rFonts w:cs="Arial"/>
        </w:rPr>
        <w:t xml:space="preserve">.  </w:t>
      </w:r>
    </w:p>
    <w:p w14:paraId="7BDF2F65" w14:textId="77777777" w:rsidR="00014D60" w:rsidRPr="00C77C49" w:rsidRDefault="00014D60" w:rsidP="00014D60">
      <w:pPr>
        <w:tabs>
          <w:tab w:val="num" w:pos="1985"/>
        </w:tabs>
        <w:ind w:left="567"/>
        <w:jc w:val="both"/>
        <w:rPr>
          <w:rFonts w:cs="Arial"/>
        </w:rPr>
      </w:pPr>
    </w:p>
    <w:p w14:paraId="3C2A2EDA" w14:textId="77777777" w:rsidR="00014D60" w:rsidRPr="00C77C49" w:rsidRDefault="00014D60" w:rsidP="00014D60">
      <w:pPr>
        <w:tabs>
          <w:tab w:val="num" w:pos="567"/>
          <w:tab w:val="num" w:pos="1985"/>
        </w:tabs>
        <w:jc w:val="both"/>
        <w:rPr>
          <w:rFonts w:cs="Arial"/>
        </w:rPr>
      </w:pPr>
      <w:r w:rsidRPr="00C77C49">
        <w:rPr>
          <w:rFonts w:cs="Arial"/>
        </w:rPr>
        <w:t xml:space="preserve">In view of the current financial climate and reduced external funding service directorates were asked to limit new capital proposals to the following categories: </w:t>
      </w:r>
    </w:p>
    <w:p w14:paraId="39543018" w14:textId="77777777" w:rsidR="00014D60" w:rsidRPr="00C77C49" w:rsidRDefault="00014D60" w:rsidP="00014D60">
      <w:pPr>
        <w:ind w:left="720"/>
        <w:contextualSpacing/>
        <w:jc w:val="both"/>
        <w:rPr>
          <w:rFonts w:cs="Arial"/>
        </w:rPr>
      </w:pPr>
    </w:p>
    <w:p w14:paraId="6DC5ECD2" w14:textId="77777777" w:rsidR="00014D60" w:rsidRPr="00C77C49" w:rsidRDefault="00014D60" w:rsidP="00014D60">
      <w:pPr>
        <w:numPr>
          <w:ilvl w:val="0"/>
          <w:numId w:val="40"/>
        </w:numPr>
        <w:contextualSpacing/>
        <w:jc w:val="both"/>
        <w:rPr>
          <w:rFonts w:cs="Arial"/>
        </w:rPr>
      </w:pPr>
      <w:r w:rsidRPr="00C77C49">
        <w:rPr>
          <w:rFonts w:cs="Arial"/>
        </w:rPr>
        <w:t>Life and Limb/Health and Safety.</w:t>
      </w:r>
    </w:p>
    <w:p w14:paraId="5D1B27E7" w14:textId="77777777" w:rsidR="00014D60" w:rsidRPr="00C77C49" w:rsidRDefault="00014D60" w:rsidP="00014D60">
      <w:pPr>
        <w:numPr>
          <w:ilvl w:val="0"/>
          <w:numId w:val="40"/>
        </w:numPr>
        <w:contextualSpacing/>
        <w:jc w:val="both"/>
        <w:rPr>
          <w:rFonts w:cs="Arial"/>
        </w:rPr>
      </w:pPr>
      <w:r w:rsidRPr="00C77C49">
        <w:rPr>
          <w:rFonts w:cs="Arial"/>
        </w:rPr>
        <w:t>Statutory Requirement/legislation.</w:t>
      </w:r>
    </w:p>
    <w:p w14:paraId="75D6AD3E" w14:textId="77777777" w:rsidR="00014D60" w:rsidRPr="00C77C49" w:rsidRDefault="00014D60" w:rsidP="00014D60">
      <w:pPr>
        <w:numPr>
          <w:ilvl w:val="0"/>
          <w:numId w:val="40"/>
        </w:numPr>
        <w:contextualSpacing/>
        <w:jc w:val="both"/>
        <w:rPr>
          <w:rFonts w:cs="Arial"/>
        </w:rPr>
      </w:pPr>
      <w:r w:rsidRPr="00C77C49">
        <w:rPr>
          <w:rFonts w:cs="Arial"/>
        </w:rPr>
        <w:t>Schemes fully funded by external sources.</w:t>
      </w:r>
    </w:p>
    <w:p w14:paraId="47C12C0B" w14:textId="77777777" w:rsidR="00014D60" w:rsidRPr="00C77C49" w:rsidRDefault="00014D60" w:rsidP="00014D60">
      <w:pPr>
        <w:numPr>
          <w:ilvl w:val="0"/>
          <w:numId w:val="40"/>
        </w:numPr>
        <w:contextualSpacing/>
        <w:jc w:val="both"/>
        <w:rPr>
          <w:rFonts w:cs="Arial"/>
        </w:rPr>
      </w:pPr>
      <w:r w:rsidRPr="00C77C49">
        <w:rPr>
          <w:rFonts w:cs="Arial"/>
        </w:rPr>
        <w:t xml:space="preserve">Invest to Save Schemes (the capital expenditure must generate a revenue stream to cover the capital financing costs and make a </w:t>
      </w:r>
      <w:r>
        <w:rPr>
          <w:rFonts w:cs="Arial"/>
        </w:rPr>
        <w:t>net contribution to the MTFS</w:t>
      </w:r>
      <w:r w:rsidRPr="00C77C49">
        <w:rPr>
          <w:rFonts w:cs="Arial"/>
        </w:rPr>
        <w:t>).</w:t>
      </w:r>
    </w:p>
    <w:p w14:paraId="58C37A09" w14:textId="77777777" w:rsidR="00014D60" w:rsidRPr="00C77C49" w:rsidRDefault="00014D60" w:rsidP="00014D60">
      <w:pPr>
        <w:jc w:val="both"/>
        <w:rPr>
          <w:rFonts w:cs="Arial"/>
        </w:rPr>
      </w:pPr>
    </w:p>
    <w:p w14:paraId="5E2D9584" w14:textId="544F789E" w:rsidR="00014D60" w:rsidRPr="00C77C49" w:rsidRDefault="00014D60" w:rsidP="00014D60">
      <w:pPr>
        <w:spacing w:after="100"/>
        <w:jc w:val="both"/>
        <w:rPr>
          <w:rFonts w:cs="Arial"/>
          <w:i/>
        </w:rPr>
      </w:pPr>
      <w:r>
        <w:rPr>
          <w:rFonts w:cs="Arial"/>
        </w:rPr>
        <w:t>The update Capital Programme 2020/21 to 202</w:t>
      </w:r>
      <w:r w:rsidR="00BF7865">
        <w:rPr>
          <w:rFonts w:cs="Arial"/>
        </w:rPr>
        <w:t>3</w:t>
      </w:r>
      <w:r>
        <w:rPr>
          <w:rFonts w:cs="Arial"/>
        </w:rPr>
        <w:t>/2</w:t>
      </w:r>
      <w:r w:rsidR="00BF7865">
        <w:rPr>
          <w:rFonts w:cs="Arial"/>
        </w:rPr>
        <w:t>4</w:t>
      </w:r>
      <w:r>
        <w:rPr>
          <w:rFonts w:cs="Arial"/>
        </w:rPr>
        <w:t xml:space="preserve"> will be approved by Cabinet/Council in February 202</w:t>
      </w:r>
      <w:r w:rsidR="00BF7865">
        <w:rPr>
          <w:rFonts w:cs="Arial"/>
        </w:rPr>
        <w:t>1</w:t>
      </w:r>
      <w:r>
        <w:rPr>
          <w:rFonts w:cs="Arial"/>
        </w:rPr>
        <w:t>.</w:t>
      </w:r>
    </w:p>
    <w:p w14:paraId="15CDD886" w14:textId="77777777" w:rsidR="00014D60" w:rsidRDefault="00014D60" w:rsidP="00014D60">
      <w:pPr>
        <w:ind w:hanging="288"/>
        <w:jc w:val="both"/>
        <w:rPr>
          <w:rFonts w:cs="Arial"/>
          <w:b/>
          <w:bCs/>
        </w:rPr>
      </w:pPr>
    </w:p>
    <w:p w14:paraId="14F851EB" w14:textId="77777777" w:rsidR="00014D60" w:rsidRPr="00562650" w:rsidRDefault="00014D60" w:rsidP="00014D60">
      <w:pPr>
        <w:jc w:val="both"/>
        <w:rPr>
          <w:rFonts w:cs="Arial"/>
          <w:b/>
          <w:bCs/>
        </w:rPr>
      </w:pPr>
      <w:r>
        <w:rPr>
          <w:rFonts w:cs="Arial"/>
          <w:b/>
          <w:bCs/>
        </w:rPr>
        <w:t>8</w:t>
      </w:r>
      <w:r w:rsidRPr="00562650">
        <w:rPr>
          <w:rFonts w:cs="Arial"/>
          <w:b/>
          <w:bCs/>
        </w:rPr>
        <w:t xml:space="preserve">. </w:t>
      </w:r>
      <w:r>
        <w:rPr>
          <w:rFonts w:cs="Arial"/>
          <w:b/>
          <w:bCs/>
        </w:rPr>
        <w:tab/>
      </w:r>
      <w:r w:rsidRPr="00562650">
        <w:rPr>
          <w:rFonts w:cs="Arial"/>
          <w:b/>
          <w:bCs/>
        </w:rPr>
        <w:t xml:space="preserve">Use of Commercial Investment </w:t>
      </w:r>
    </w:p>
    <w:p w14:paraId="156B518E" w14:textId="77777777" w:rsidR="00014D60" w:rsidRDefault="00014D60" w:rsidP="00014D60">
      <w:pPr>
        <w:jc w:val="both"/>
        <w:rPr>
          <w:rFonts w:cs="Arial"/>
        </w:rPr>
      </w:pPr>
    </w:p>
    <w:p w14:paraId="32CE8878" w14:textId="0934F764" w:rsidR="00BF7865" w:rsidRDefault="00BF7865" w:rsidP="00BF7865">
      <w:pPr>
        <w:jc w:val="both"/>
        <w:rPr>
          <w:rFonts w:cs="Arial"/>
          <w:bCs/>
          <w:szCs w:val="24"/>
        </w:rPr>
      </w:pPr>
      <w:r w:rsidRPr="004D2CA8">
        <w:rPr>
          <w:rFonts w:cs="Arial"/>
        </w:rPr>
        <w:t xml:space="preserve">The Council took its Investment Property Strategy to Council in December 2015.   Under this strategy the Council has incurred £47m to 31 March 2020 on commercial investments. </w:t>
      </w:r>
      <w:r w:rsidRPr="004D2CA8">
        <w:rPr>
          <w:rFonts w:cs="Arial"/>
          <w:bCs/>
          <w:szCs w:val="24"/>
        </w:rPr>
        <w:t xml:space="preserve">In July 2019 the Council approved £100m Capital Programme borrowing to finance long term commercial investment as part of </w:t>
      </w:r>
      <w:r w:rsidRPr="004D2CA8">
        <w:rPr>
          <w:rFonts w:cs="Arial"/>
          <w:bCs/>
          <w:szCs w:val="24"/>
        </w:rPr>
        <w:lastRenderedPageBreak/>
        <w:t>the 2 Year Budget Strategy 2021/22 to 2021/22.</w:t>
      </w:r>
      <w:r>
        <w:rPr>
          <w:rFonts w:cs="Arial"/>
          <w:bCs/>
          <w:szCs w:val="24"/>
        </w:rPr>
        <w:t xml:space="preserve">  </w:t>
      </w:r>
      <w:r w:rsidRPr="004D2CA8">
        <w:rPr>
          <w:rFonts w:cs="Arial"/>
          <w:bCs/>
          <w:szCs w:val="24"/>
        </w:rPr>
        <w:t xml:space="preserve">As at 31 March 2020 £6.4m of the £100m approval had been applied to the purchase of commercial property. The remaining £94m has been removed from the Capital Programme as reported in the Final Capital Programme report and the Final Revenue Budget report </w:t>
      </w:r>
      <w:r>
        <w:rPr>
          <w:rFonts w:cs="Arial"/>
          <w:bCs/>
          <w:szCs w:val="24"/>
        </w:rPr>
        <w:t xml:space="preserve">2021/22 </w:t>
      </w:r>
      <w:r w:rsidRPr="004D2CA8">
        <w:rPr>
          <w:rFonts w:cs="Arial"/>
          <w:bCs/>
          <w:szCs w:val="24"/>
        </w:rPr>
        <w:t>which are both reported to cabinet in February 2021.</w:t>
      </w:r>
    </w:p>
    <w:p w14:paraId="7FC3FC6F" w14:textId="77777777" w:rsidR="00014D60" w:rsidRDefault="00014D60" w:rsidP="00014D60">
      <w:pPr>
        <w:jc w:val="both"/>
        <w:rPr>
          <w:rFonts w:cs="Arial"/>
          <w:b/>
          <w:bCs/>
        </w:rPr>
      </w:pPr>
    </w:p>
    <w:p w14:paraId="1CB829CF" w14:textId="77777777" w:rsidR="00014D60" w:rsidRPr="00C77C49" w:rsidRDefault="00014D60" w:rsidP="00014D60">
      <w:pPr>
        <w:jc w:val="both"/>
        <w:rPr>
          <w:rFonts w:cs="Arial"/>
        </w:rPr>
      </w:pPr>
      <w:r>
        <w:rPr>
          <w:rFonts w:cs="Arial"/>
          <w:b/>
          <w:bCs/>
        </w:rPr>
        <w:t>9</w:t>
      </w:r>
      <w:r w:rsidRPr="00C77C49">
        <w:rPr>
          <w:rFonts w:cs="Arial"/>
          <w:b/>
          <w:bCs/>
        </w:rPr>
        <w:t xml:space="preserve">. </w:t>
      </w:r>
      <w:r>
        <w:rPr>
          <w:rFonts w:cs="Arial"/>
          <w:b/>
          <w:bCs/>
        </w:rPr>
        <w:tab/>
      </w:r>
      <w:r w:rsidRPr="00C77C49">
        <w:rPr>
          <w:rFonts w:cs="Arial"/>
          <w:b/>
          <w:bCs/>
        </w:rPr>
        <w:t xml:space="preserve">Asset Management </w:t>
      </w:r>
    </w:p>
    <w:p w14:paraId="6028AADC" w14:textId="77777777" w:rsidR="00014D60" w:rsidRDefault="00014D60" w:rsidP="00014D60">
      <w:pPr>
        <w:jc w:val="both"/>
        <w:rPr>
          <w:rFonts w:cs="Arial"/>
        </w:rPr>
      </w:pPr>
    </w:p>
    <w:p w14:paraId="132FB0C3" w14:textId="77777777" w:rsidR="00014D60" w:rsidRDefault="00014D60" w:rsidP="00014D60">
      <w:pPr>
        <w:jc w:val="both"/>
        <w:rPr>
          <w:rFonts w:cs="Arial"/>
        </w:rPr>
      </w:pPr>
      <w:r w:rsidRPr="00C77C49">
        <w:rPr>
          <w:rFonts w:cs="Arial"/>
        </w:rPr>
        <w:t>Asset Management is the process by which the authority considers whether its assets are appropriate to deliver the high quality services demanded by residents. This process may identify a number of differen</w:t>
      </w:r>
      <w:r>
        <w:rPr>
          <w:rFonts w:cs="Arial"/>
        </w:rPr>
        <w:t>t outcomes for assets including:</w:t>
      </w:r>
    </w:p>
    <w:p w14:paraId="279CDF77" w14:textId="77777777" w:rsidR="00014D60" w:rsidRPr="00C77C49" w:rsidRDefault="00014D60" w:rsidP="00014D60">
      <w:pPr>
        <w:jc w:val="both"/>
        <w:rPr>
          <w:rFonts w:cs="Arial"/>
        </w:rPr>
      </w:pPr>
      <w:r w:rsidRPr="00C77C49">
        <w:rPr>
          <w:rFonts w:cs="Arial"/>
        </w:rPr>
        <w:t xml:space="preserve"> </w:t>
      </w:r>
    </w:p>
    <w:p w14:paraId="48359BAA" w14:textId="77777777" w:rsidR="00014D60" w:rsidRDefault="00014D60" w:rsidP="00014D60">
      <w:pPr>
        <w:numPr>
          <w:ilvl w:val="1"/>
          <w:numId w:val="39"/>
        </w:numPr>
        <w:tabs>
          <w:tab w:val="clear" w:pos="1440"/>
        </w:tabs>
        <w:spacing w:after="200" w:line="276" w:lineRule="auto"/>
        <w:ind w:left="709" w:hanging="283"/>
        <w:jc w:val="both"/>
        <w:rPr>
          <w:rFonts w:cs="Arial"/>
        </w:rPr>
      </w:pPr>
      <w:r w:rsidRPr="00C77C49">
        <w:rPr>
          <w:rFonts w:cs="Arial"/>
        </w:rPr>
        <w:t xml:space="preserve">Change in use to meet the demands of a service </w:t>
      </w:r>
    </w:p>
    <w:p w14:paraId="4BA1B4E1" w14:textId="77777777" w:rsidR="00014D60" w:rsidRPr="00DD00F2" w:rsidRDefault="00014D60" w:rsidP="00014D60">
      <w:pPr>
        <w:numPr>
          <w:ilvl w:val="1"/>
          <w:numId w:val="39"/>
        </w:numPr>
        <w:tabs>
          <w:tab w:val="clear" w:pos="1440"/>
          <w:tab w:val="num" w:pos="709"/>
        </w:tabs>
        <w:spacing w:after="200" w:line="276" w:lineRule="auto"/>
        <w:ind w:hanging="1014"/>
        <w:jc w:val="both"/>
        <w:rPr>
          <w:rFonts w:cs="Arial"/>
        </w:rPr>
      </w:pPr>
      <w:r w:rsidRPr="00C77C49">
        <w:rPr>
          <w:rFonts w:cs="Arial"/>
        </w:rPr>
        <w:t xml:space="preserve">Investment is required to improve the condition of an asset </w:t>
      </w:r>
    </w:p>
    <w:p w14:paraId="15A4F9B4" w14:textId="77777777" w:rsidR="00014D60" w:rsidRPr="00C77C49" w:rsidRDefault="00014D60" w:rsidP="00014D60">
      <w:pPr>
        <w:numPr>
          <w:ilvl w:val="1"/>
          <w:numId w:val="39"/>
        </w:numPr>
        <w:tabs>
          <w:tab w:val="clear" w:pos="1440"/>
          <w:tab w:val="num" w:pos="709"/>
        </w:tabs>
        <w:spacing w:after="200" w:line="276" w:lineRule="auto"/>
        <w:ind w:left="709" w:hanging="283"/>
        <w:jc w:val="both"/>
        <w:rPr>
          <w:rFonts w:cs="Arial"/>
        </w:rPr>
      </w:pPr>
      <w:r w:rsidRPr="00C77C49">
        <w:rPr>
          <w:rFonts w:cs="Arial"/>
        </w:rPr>
        <w:t xml:space="preserve">A new asset is required to better meet the Council priorities </w:t>
      </w:r>
    </w:p>
    <w:p w14:paraId="750C1952" w14:textId="77777777" w:rsidR="00014D60" w:rsidRPr="00C77C49" w:rsidRDefault="00014D60" w:rsidP="00014D60">
      <w:pPr>
        <w:numPr>
          <w:ilvl w:val="1"/>
          <w:numId w:val="39"/>
        </w:numPr>
        <w:tabs>
          <w:tab w:val="clear" w:pos="1440"/>
          <w:tab w:val="num" w:pos="709"/>
        </w:tabs>
        <w:spacing w:after="200" w:line="276" w:lineRule="auto"/>
        <w:ind w:left="709" w:hanging="283"/>
        <w:jc w:val="both"/>
        <w:rPr>
          <w:rFonts w:cs="Arial"/>
        </w:rPr>
      </w:pPr>
      <w:r w:rsidRPr="00C77C49">
        <w:rPr>
          <w:rFonts w:cs="Arial"/>
        </w:rPr>
        <w:t xml:space="preserve">The need to dispose of the asset to realise its value in monetary terms </w:t>
      </w:r>
    </w:p>
    <w:p w14:paraId="6C346210" w14:textId="77777777" w:rsidR="00014D60" w:rsidRPr="00C77C49" w:rsidRDefault="00014D60" w:rsidP="00014D60">
      <w:pPr>
        <w:jc w:val="both"/>
        <w:rPr>
          <w:rFonts w:cs="Arial"/>
        </w:rPr>
      </w:pPr>
      <w:r w:rsidRPr="00C77C49">
        <w:rPr>
          <w:rFonts w:cs="Arial"/>
        </w:rPr>
        <w:t xml:space="preserve">The Council will use active asset management to consider both its current asset base and its future asset base. The capital programme will be used to bridge the gap to ensure that the authority has sufficient assets in the long term. </w:t>
      </w:r>
    </w:p>
    <w:p w14:paraId="30A2E2A5" w14:textId="77777777" w:rsidR="00014D60" w:rsidRDefault="00014D60" w:rsidP="00014D60">
      <w:pPr>
        <w:jc w:val="both"/>
        <w:rPr>
          <w:rFonts w:cs="Arial"/>
        </w:rPr>
      </w:pPr>
    </w:p>
    <w:p w14:paraId="73DD9DE5" w14:textId="77777777" w:rsidR="00014D60" w:rsidRPr="00C77C49" w:rsidRDefault="00014D60" w:rsidP="00014D60">
      <w:pPr>
        <w:jc w:val="both"/>
        <w:rPr>
          <w:rFonts w:cs="Arial"/>
        </w:rPr>
      </w:pPr>
      <w:r>
        <w:rPr>
          <w:rFonts w:cs="Arial"/>
          <w:b/>
          <w:bCs/>
        </w:rPr>
        <w:t>10</w:t>
      </w:r>
      <w:r w:rsidRPr="00C77C49">
        <w:rPr>
          <w:rFonts w:cs="Arial"/>
          <w:b/>
          <w:bCs/>
        </w:rPr>
        <w:t xml:space="preserve">. </w:t>
      </w:r>
      <w:r>
        <w:rPr>
          <w:rFonts w:cs="Arial"/>
          <w:b/>
          <w:bCs/>
        </w:rPr>
        <w:tab/>
      </w:r>
      <w:r w:rsidRPr="00C77C49">
        <w:rPr>
          <w:rFonts w:cs="Arial"/>
          <w:b/>
          <w:bCs/>
        </w:rPr>
        <w:t xml:space="preserve">Capital Disposals </w:t>
      </w:r>
    </w:p>
    <w:p w14:paraId="17FF3EBF" w14:textId="77777777" w:rsidR="00014D60" w:rsidRDefault="00014D60" w:rsidP="00014D60">
      <w:pPr>
        <w:jc w:val="both"/>
        <w:rPr>
          <w:rFonts w:cs="Arial"/>
        </w:rPr>
      </w:pPr>
    </w:p>
    <w:p w14:paraId="3616F63C" w14:textId="77777777" w:rsidR="00014D60" w:rsidRPr="00C77C49" w:rsidRDefault="00014D60" w:rsidP="00014D60">
      <w:pPr>
        <w:jc w:val="both"/>
        <w:rPr>
          <w:rFonts w:cs="Arial"/>
        </w:rPr>
      </w:pPr>
      <w:r w:rsidRPr="00C77C49">
        <w:rPr>
          <w:rFonts w:cs="Arial"/>
        </w:rPr>
        <w:t xml:space="preserve">The asset management process may determine that the value of an asset is best realised through disposal. Sale of assets should be through an open market process to determine the best value. </w:t>
      </w:r>
    </w:p>
    <w:p w14:paraId="29F13543" w14:textId="77777777" w:rsidR="00014D60" w:rsidRDefault="00014D60" w:rsidP="00014D60">
      <w:pPr>
        <w:jc w:val="both"/>
        <w:rPr>
          <w:rFonts w:cs="Arial"/>
        </w:rPr>
      </w:pPr>
    </w:p>
    <w:p w14:paraId="25952089" w14:textId="77777777" w:rsidR="00014D60" w:rsidRPr="00C77C49" w:rsidRDefault="00014D60" w:rsidP="00014D60">
      <w:pPr>
        <w:jc w:val="both"/>
        <w:rPr>
          <w:rFonts w:cs="Arial"/>
        </w:rPr>
      </w:pPr>
      <w:r w:rsidRPr="00C77C49">
        <w:rPr>
          <w:rFonts w:cs="Arial"/>
        </w:rPr>
        <w:t xml:space="preserve">Cash received from a sale of a property is a capital receipt. The use of these funds is restricted to purchasing new assets or repayment of existing debt. The Council will not make decisions about the ring-fencing of capital receipts before amounts are known and the use of such receipts has been considered in the light of the Council’s overall financial position. </w:t>
      </w:r>
    </w:p>
    <w:p w14:paraId="650DEF66" w14:textId="77777777" w:rsidR="00014D60" w:rsidRDefault="00014D60" w:rsidP="00014D60">
      <w:pPr>
        <w:jc w:val="both"/>
        <w:rPr>
          <w:rFonts w:cs="Arial"/>
        </w:rPr>
      </w:pPr>
    </w:p>
    <w:p w14:paraId="62A60EC5" w14:textId="77777777" w:rsidR="00014D60" w:rsidRPr="00C77C49" w:rsidRDefault="00014D60" w:rsidP="00014D60">
      <w:pPr>
        <w:jc w:val="both"/>
        <w:rPr>
          <w:rFonts w:cs="Arial"/>
        </w:rPr>
      </w:pPr>
      <w:r w:rsidRPr="00BF7865">
        <w:rPr>
          <w:rFonts w:cs="Arial"/>
        </w:rPr>
        <w:t>The existing General Fund capital programme includes a limited amount of capital receipts in relation to two regeneration schemes – Haslam House and Waxwell Lane.   The HRA capital programme includes assumptions on levels of right to buy receipts</w:t>
      </w:r>
      <w:r w:rsidRPr="00C77C49">
        <w:rPr>
          <w:rFonts w:cs="Arial"/>
        </w:rPr>
        <w:t xml:space="preserve"> as well as other capital receipts. </w:t>
      </w:r>
    </w:p>
    <w:p w14:paraId="179178EE" w14:textId="77777777" w:rsidR="00014D60" w:rsidRDefault="00014D60" w:rsidP="00014D60">
      <w:pPr>
        <w:jc w:val="both"/>
        <w:rPr>
          <w:rFonts w:cs="Arial"/>
          <w:b/>
          <w:bCs/>
        </w:rPr>
      </w:pPr>
    </w:p>
    <w:p w14:paraId="42D90260" w14:textId="77777777" w:rsidR="00014D60" w:rsidRPr="00C77C49" w:rsidRDefault="00014D60" w:rsidP="00014D60">
      <w:pPr>
        <w:jc w:val="both"/>
        <w:rPr>
          <w:rFonts w:cs="Arial"/>
        </w:rPr>
      </w:pPr>
      <w:r>
        <w:rPr>
          <w:rFonts w:cs="Arial"/>
          <w:b/>
          <w:bCs/>
        </w:rPr>
        <w:t>11</w:t>
      </w:r>
      <w:r w:rsidRPr="00C77C49">
        <w:rPr>
          <w:rFonts w:cs="Arial"/>
          <w:b/>
          <w:bCs/>
        </w:rPr>
        <w:t>.</w:t>
      </w:r>
      <w:r>
        <w:rPr>
          <w:rFonts w:cs="Arial"/>
          <w:b/>
          <w:bCs/>
        </w:rPr>
        <w:tab/>
      </w:r>
      <w:r w:rsidRPr="00C77C49">
        <w:rPr>
          <w:rFonts w:cs="Arial"/>
          <w:b/>
          <w:bCs/>
        </w:rPr>
        <w:t xml:space="preserve"> Multi-Year Capital Projects </w:t>
      </w:r>
    </w:p>
    <w:p w14:paraId="1A3CF465" w14:textId="77777777" w:rsidR="00014D60" w:rsidRDefault="00014D60" w:rsidP="00014D60">
      <w:pPr>
        <w:jc w:val="both"/>
        <w:rPr>
          <w:rFonts w:cs="Arial"/>
        </w:rPr>
      </w:pPr>
    </w:p>
    <w:p w14:paraId="2F78802A" w14:textId="77777777" w:rsidR="00014D60" w:rsidRPr="00C77C49" w:rsidRDefault="00014D60" w:rsidP="00014D60">
      <w:pPr>
        <w:jc w:val="both"/>
        <w:rPr>
          <w:rFonts w:cs="Arial"/>
        </w:rPr>
      </w:pPr>
      <w:r w:rsidRPr="00C77C49">
        <w:rPr>
          <w:rFonts w:cs="Arial"/>
        </w:rPr>
        <w:t xml:space="preserve">Capital projects deliver assets which will provide services and/or income to the Council for a number of years. As a result of the significance and complexity of a number of these projects they may take a number of years to plan and deliver. </w:t>
      </w:r>
    </w:p>
    <w:p w14:paraId="3CD98AF3" w14:textId="77777777" w:rsidR="00014D60" w:rsidRDefault="00014D60" w:rsidP="00014D60">
      <w:pPr>
        <w:jc w:val="both"/>
        <w:rPr>
          <w:rFonts w:cs="Arial"/>
        </w:rPr>
      </w:pPr>
    </w:p>
    <w:p w14:paraId="00B44EE5" w14:textId="77777777" w:rsidR="00014D60" w:rsidRPr="00C77C49" w:rsidRDefault="00014D60" w:rsidP="00014D60">
      <w:pPr>
        <w:jc w:val="both"/>
        <w:rPr>
          <w:rFonts w:cs="Arial"/>
        </w:rPr>
      </w:pPr>
      <w:r w:rsidRPr="00C77C49">
        <w:rPr>
          <w:rFonts w:cs="Arial"/>
        </w:rPr>
        <w:t xml:space="preserve">When setting the Capital Programme Council will approve the schemes to be included, the budget for their delivery and the timescale in which they are to be achieved. Unless schemes have clearly defined development and delivery phases with separate objectives, budgets and timescales Council should be asked to approve a budget to cover the whole of the project being delivered. </w:t>
      </w:r>
      <w:r w:rsidRPr="00C77C49">
        <w:rPr>
          <w:rFonts w:cs="Arial"/>
        </w:rPr>
        <w:lastRenderedPageBreak/>
        <w:t xml:space="preserve">Approval of the entire budget at the point of inception gives certainty for the project and assists officers in ensuring delivery. </w:t>
      </w:r>
    </w:p>
    <w:p w14:paraId="204346AA" w14:textId="77777777" w:rsidR="00014D60" w:rsidRDefault="00014D60" w:rsidP="00014D60">
      <w:pPr>
        <w:jc w:val="both"/>
        <w:rPr>
          <w:rFonts w:cs="Arial"/>
        </w:rPr>
      </w:pPr>
    </w:p>
    <w:p w14:paraId="4FFAA653" w14:textId="77777777" w:rsidR="00014D60" w:rsidRPr="00C77C49" w:rsidRDefault="00014D60" w:rsidP="00014D60">
      <w:pPr>
        <w:jc w:val="both"/>
        <w:rPr>
          <w:rFonts w:cs="Arial"/>
        </w:rPr>
      </w:pPr>
      <w:r w:rsidRPr="00C77C49">
        <w:rPr>
          <w:rFonts w:cs="Arial"/>
        </w:rPr>
        <w:t xml:space="preserve">The budget for approval will include an expected cash flow projection showing how much of the anticipated project budget will be incurred in each year of the Capital Programme. Any variations in timing of cash flows between years will be reported as part of the budget monitoring process. This should be regarded as part of the normal development of a capital project. </w:t>
      </w:r>
    </w:p>
    <w:p w14:paraId="5DCB96D4" w14:textId="77777777" w:rsidR="00014D60" w:rsidRDefault="00014D60" w:rsidP="00014D60">
      <w:pPr>
        <w:jc w:val="both"/>
        <w:rPr>
          <w:rFonts w:cs="Arial"/>
          <w:b/>
          <w:bCs/>
        </w:rPr>
      </w:pPr>
    </w:p>
    <w:p w14:paraId="66662EE9" w14:textId="77777777" w:rsidR="00014D60" w:rsidRDefault="00014D60" w:rsidP="00014D60">
      <w:pPr>
        <w:jc w:val="both"/>
        <w:rPr>
          <w:rFonts w:cs="Arial"/>
          <w:b/>
          <w:bCs/>
        </w:rPr>
      </w:pPr>
      <w:r>
        <w:rPr>
          <w:rFonts w:cs="Arial"/>
          <w:b/>
          <w:bCs/>
        </w:rPr>
        <w:t>12</w:t>
      </w:r>
      <w:r w:rsidRPr="00C77C49">
        <w:rPr>
          <w:rFonts w:cs="Arial"/>
          <w:b/>
          <w:bCs/>
        </w:rPr>
        <w:t>.</w:t>
      </w:r>
      <w:r>
        <w:rPr>
          <w:rFonts w:cs="Arial"/>
          <w:b/>
          <w:bCs/>
        </w:rPr>
        <w:tab/>
      </w:r>
      <w:r w:rsidRPr="00C77C49">
        <w:rPr>
          <w:rFonts w:cs="Arial"/>
          <w:b/>
          <w:bCs/>
        </w:rPr>
        <w:t xml:space="preserve"> Use of </w:t>
      </w:r>
      <w:r>
        <w:rPr>
          <w:rFonts w:cs="Arial"/>
          <w:b/>
          <w:bCs/>
        </w:rPr>
        <w:t>capital receipt</w:t>
      </w:r>
      <w:r w:rsidRPr="00C77C49">
        <w:rPr>
          <w:rFonts w:cs="Arial"/>
          <w:b/>
          <w:bCs/>
        </w:rPr>
        <w:t xml:space="preserve"> flexibilities</w:t>
      </w:r>
    </w:p>
    <w:p w14:paraId="7922900F" w14:textId="77777777" w:rsidR="00014D60" w:rsidRPr="00C77C49" w:rsidRDefault="00014D60" w:rsidP="00014D60">
      <w:pPr>
        <w:jc w:val="both"/>
        <w:rPr>
          <w:rFonts w:cs="Arial"/>
        </w:rPr>
      </w:pPr>
    </w:p>
    <w:p w14:paraId="3DFD9379" w14:textId="69D66A79" w:rsidR="00014D60" w:rsidRDefault="00014D60" w:rsidP="00014D60">
      <w:pPr>
        <w:jc w:val="both"/>
        <w:rPr>
          <w:rFonts w:cs="Arial"/>
        </w:rPr>
      </w:pPr>
      <w:r>
        <w:rPr>
          <w:rFonts w:cs="Arial"/>
        </w:rPr>
        <w:t xml:space="preserve">In the Spending Review 2015, it was announced that to support local authorities to deliver more efficient and sustainable services, the government will allow local authorities to send up to 100% of their fixed asset receipts on the revenue costs of reform projects. This flexibility was initially offered for the three years 2016/17 to </w:t>
      </w:r>
      <w:r w:rsidR="00C92E8C">
        <w:rPr>
          <w:rFonts w:cs="Arial"/>
        </w:rPr>
        <w:t>2018/19 but</w:t>
      </w:r>
      <w:r>
        <w:rPr>
          <w:rFonts w:cs="Arial"/>
        </w:rPr>
        <w:t xml:space="preserve"> </w:t>
      </w:r>
      <w:r w:rsidR="003C0F82">
        <w:rPr>
          <w:rFonts w:cs="Arial"/>
        </w:rPr>
        <w:t>was</w:t>
      </w:r>
      <w:r>
        <w:rPr>
          <w:rFonts w:cs="Arial"/>
        </w:rPr>
        <w:t xml:space="preserve"> extended as a part of the 2018/19 Finance settlement for a further 3 years from 2019/20 to 2021/22. </w:t>
      </w:r>
    </w:p>
    <w:p w14:paraId="65B82877" w14:textId="64F54348" w:rsidR="00BF7865" w:rsidRDefault="00BF7865" w:rsidP="00014D60">
      <w:pPr>
        <w:jc w:val="both"/>
        <w:rPr>
          <w:rFonts w:cs="Arial"/>
        </w:rPr>
      </w:pPr>
    </w:p>
    <w:p w14:paraId="718B055F" w14:textId="058EF84D" w:rsidR="00BF7865" w:rsidRDefault="00BF7865" w:rsidP="00BF7865">
      <w:pPr>
        <w:jc w:val="both"/>
        <w:rPr>
          <w:rFonts w:cs="Arial"/>
        </w:rPr>
      </w:pPr>
      <w:r w:rsidRPr="003C0F82">
        <w:rPr>
          <w:rFonts w:cs="Arial"/>
        </w:rPr>
        <w:t xml:space="preserve">The Council signified its intent to make use of this flexibility in its final budget report to Cabinet and Council in February 2016.  From November 2016, Cabinet approved a number of asset disposals and the capital receipts from these disposals are being applied within the new flexibilities.  In 2019/20 £3.1m of capital flexibilities were applied in the budget. For 2020/21 there </w:t>
      </w:r>
      <w:r w:rsidR="003C0F82" w:rsidRPr="003C0F82">
        <w:rPr>
          <w:rFonts w:cs="Arial"/>
        </w:rPr>
        <w:t>was</w:t>
      </w:r>
      <w:r w:rsidRPr="003C0F82">
        <w:rPr>
          <w:rFonts w:cs="Arial"/>
        </w:rPr>
        <w:t xml:space="preserve"> no planned use of capital flexibilities </w:t>
      </w:r>
      <w:r w:rsidR="00C92E8C">
        <w:rPr>
          <w:rFonts w:cs="Arial"/>
        </w:rPr>
        <w:t>set out in</w:t>
      </w:r>
      <w:r w:rsidRPr="003C0F82">
        <w:rPr>
          <w:rFonts w:cs="Arial"/>
        </w:rPr>
        <w:t xml:space="preserve"> the budget.  </w:t>
      </w:r>
      <w:r w:rsidR="003C0F82" w:rsidRPr="003C0F82">
        <w:rPr>
          <w:rFonts w:cs="Arial"/>
        </w:rPr>
        <w:t>T</w:t>
      </w:r>
      <w:r w:rsidRPr="003C0F82">
        <w:rPr>
          <w:rFonts w:cs="Arial"/>
        </w:rPr>
        <w:t xml:space="preserve">he 2021/22 </w:t>
      </w:r>
      <w:r w:rsidR="00C92E8C">
        <w:rPr>
          <w:rFonts w:cs="Arial"/>
        </w:rPr>
        <w:t xml:space="preserve">Final </w:t>
      </w:r>
      <w:r w:rsidRPr="003C0F82">
        <w:rPr>
          <w:rFonts w:cs="Arial"/>
        </w:rPr>
        <w:t xml:space="preserve">budget report sets out the use of £2m for </w:t>
      </w:r>
      <w:r w:rsidR="003C0F82" w:rsidRPr="003C0F82">
        <w:rPr>
          <w:rFonts w:cs="Arial"/>
        </w:rPr>
        <w:t xml:space="preserve">the financial year </w:t>
      </w:r>
      <w:r w:rsidRPr="003C0F82">
        <w:rPr>
          <w:rFonts w:cs="Arial"/>
        </w:rPr>
        <w:t>2021/22.</w:t>
      </w:r>
    </w:p>
    <w:p w14:paraId="440F64E5" w14:textId="77777777" w:rsidR="00014D60" w:rsidRDefault="00014D60" w:rsidP="00014D60">
      <w:pPr>
        <w:jc w:val="both"/>
        <w:rPr>
          <w:rFonts w:cs="Arial"/>
        </w:rPr>
      </w:pPr>
    </w:p>
    <w:p w14:paraId="63C14FFB" w14:textId="77777777" w:rsidR="00014D60" w:rsidRDefault="00014D60" w:rsidP="00014D60">
      <w:pPr>
        <w:jc w:val="both"/>
        <w:rPr>
          <w:rFonts w:cs="Arial"/>
          <w:b/>
          <w:bCs/>
        </w:rPr>
      </w:pPr>
    </w:p>
    <w:p w14:paraId="0A264F44" w14:textId="77777777" w:rsidR="00014D60" w:rsidRPr="00C77C49" w:rsidRDefault="00014D60" w:rsidP="00014D60">
      <w:pPr>
        <w:jc w:val="both"/>
        <w:rPr>
          <w:rFonts w:cs="Arial"/>
        </w:rPr>
      </w:pPr>
      <w:r w:rsidRPr="00C77C49">
        <w:rPr>
          <w:rFonts w:cs="Arial"/>
          <w:b/>
          <w:bCs/>
        </w:rPr>
        <w:t xml:space="preserve">Section 2 – </w:t>
      </w:r>
      <w:r w:rsidRPr="00DD00F2">
        <w:rPr>
          <w:rFonts w:cs="Arial"/>
          <w:b/>
          <w:bCs/>
          <w:caps/>
          <w:u w:val="single"/>
        </w:rPr>
        <w:t>Selecting, Approving and Monitoring Capital Schemes</w:t>
      </w:r>
      <w:r w:rsidRPr="00C77C49">
        <w:rPr>
          <w:rFonts w:cs="Arial"/>
          <w:b/>
          <w:bCs/>
        </w:rPr>
        <w:t xml:space="preserve"> </w:t>
      </w:r>
    </w:p>
    <w:p w14:paraId="7ABB9993" w14:textId="77777777" w:rsidR="00014D60" w:rsidRDefault="00014D60" w:rsidP="00014D60">
      <w:pPr>
        <w:jc w:val="both"/>
        <w:rPr>
          <w:rFonts w:cs="Arial"/>
          <w:b/>
          <w:bCs/>
        </w:rPr>
      </w:pPr>
    </w:p>
    <w:p w14:paraId="09FF8D3F" w14:textId="77777777" w:rsidR="00014D60" w:rsidRPr="00C77C49" w:rsidRDefault="00014D60" w:rsidP="00014D60">
      <w:pPr>
        <w:jc w:val="both"/>
        <w:rPr>
          <w:rFonts w:cs="Arial"/>
        </w:rPr>
      </w:pPr>
      <w:r>
        <w:rPr>
          <w:rFonts w:cs="Arial"/>
          <w:b/>
          <w:bCs/>
        </w:rPr>
        <w:t>13</w:t>
      </w:r>
      <w:r w:rsidRPr="00FA5096">
        <w:rPr>
          <w:rFonts w:cs="Arial"/>
          <w:b/>
          <w:bCs/>
        </w:rPr>
        <w:t>.</w:t>
      </w:r>
      <w:r>
        <w:rPr>
          <w:rFonts w:cs="Arial"/>
          <w:b/>
          <w:bCs/>
        </w:rPr>
        <w:tab/>
      </w:r>
      <w:r w:rsidRPr="00C77C49">
        <w:rPr>
          <w:rFonts w:cs="Arial"/>
          <w:b/>
          <w:bCs/>
        </w:rPr>
        <w:t xml:space="preserve">The Importance of Capital Business Cases </w:t>
      </w:r>
    </w:p>
    <w:p w14:paraId="2BDA72A5" w14:textId="77777777" w:rsidR="00014D60" w:rsidRDefault="00014D60" w:rsidP="00014D60">
      <w:pPr>
        <w:jc w:val="both"/>
        <w:rPr>
          <w:rFonts w:cs="Arial"/>
        </w:rPr>
      </w:pPr>
    </w:p>
    <w:p w14:paraId="766CE5BA" w14:textId="77777777" w:rsidR="00014D60" w:rsidRPr="00C77C49" w:rsidRDefault="00014D60" w:rsidP="00014D60">
      <w:pPr>
        <w:jc w:val="both"/>
        <w:rPr>
          <w:rFonts w:cs="Arial"/>
        </w:rPr>
      </w:pPr>
      <w:r w:rsidRPr="00C77C49">
        <w:rPr>
          <w:rFonts w:cs="Arial"/>
        </w:rPr>
        <w:t>The processes described in the following section are to be regarded as the authority’s formal procedures for setting and monitoring capital projects. This process has been develope</w:t>
      </w:r>
      <w:r>
        <w:rPr>
          <w:rFonts w:cs="Arial"/>
        </w:rPr>
        <w:t>d to ensure that the Council’s Capital P</w:t>
      </w:r>
      <w:r w:rsidRPr="00C77C49">
        <w:rPr>
          <w:rFonts w:cs="Arial"/>
        </w:rPr>
        <w:t xml:space="preserve">rogramme contains schemes which are in line with objectives, meet its asset management requirements and are both affordable and deliverable. This process will give elected members confidence that decisions they are being asked to make regarding the capital programme have been based on a sound system of decision making. </w:t>
      </w:r>
    </w:p>
    <w:p w14:paraId="4AB5FCD7" w14:textId="77777777" w:rsidR="00014D60" w:rsidRDefault="00014D60" w:rsidP="00014D60">
      <w:pPr>
        <w:jc w:val="both"/>
        <w:rPr>
          <w:rFonts w:cs="Arial"/>
        </w:rPr>
      </w:pPr>
    </w:p>
    <w:p w14:paraId="42B1B014" w14:textId="77777777" w:rsidR="00014D60" w:rsidRPr="00C77C49" w:rsidRDefault="00014D60" w:rsidP="00014D60">
      <w:pPr>
        <w:jc w:val="both"/>
        <w:rPr>
          <w:rFonts w:cs="Arial"/>
        </w:rPr>
      </w:pPr>
      <w:r w:rsidRPr="00C77C49">
        <w:rPr>
          <w:rFonts w:cs="Arial"/>
        </w:rPr>
        <w:t xml:space="preserve">All capital schemes </w:t>
      </w:r>
      <w:r>
        <w:rPr>
          <w:rFonts w:cs="Arial"/>
        </w:rPr>
        <w:t>included in the Capital P</w:t>
      </w:r>
      <w:r w:rsidRPr="00C77C49">
        <w:rPr>
          <w:rFonts w:cs="Arial"/>
        </w:rPr>
        <w:t xml:space="preserve">rogramme have been the subject of an evaluation process including a business case to ensure the Council can target its capital resources effectively. </w:t>
      </w:r>
    </w:p>
    <w:p w14:paraId="35BCBF4A" w14:textId="77777777" w:rsidR="00014D60" w:rsidRDefault="00014D60" w:rsidP="00014D60">
      <w:pPr>
        <w:jc w:val="both"/>
        <w:rPr>
          <w:rFonts w:cs="Arial"/>
          <w:b/>
          <w:bCs/>
        </w:rPr>
      </w:pPr>
    </w:p>
    <w:p w14:paraId="2503536D" w14:textId="77777777" w:rsidR="00014D60" w:rsidRPr="00C77C49" w:rsidRDefault="00014D60" w:rsidP="00014D60">
      <w:pPr>
        <w:jc w:val="both"/>
        <w:rPr>
          <w:rFonts w:cs="Arial"/>
        </w:rPr>
      </w:pPr>
      <w:r>
        <w:rPr>
          <w:rFonts w:cs="Arial"/>
          <w:b/>
          <w:bCs/>
        </w:rPr>
        <w:t>14</w:t>
      </w:r>
      <w:r w:rsidRPr="00C77C49">
        <w:rPr>
          <w:rFonts w:cs="Arial"/>
          <w:b/>
          <w:bCs/>
        </w:rPr>
        <w:t xml:space="preserve">. </w:t>
      </w:r>
      <w:r>
        <w:rPr>
          <w:rFonts w:cs="Arial"/>
          <w:b/>
          <w:bCs/>
        </w:rPr>
        <w:tab/>
      </w:r>
      <w:r w:rsidRPr="00C77C49">
        <w:rPr>
          <w:rFonts w:cs="Arial"/>
          <w:b/>
          <w:bCs/>
        </w:rPr>
        <w:t xml:space="preserve">Information to be considered in Capital Decision Making </w:t>
      </w:r>
    </w:p>
    <w:p w14:paraId="0BA43266" w14:textId="77777777" w:rsidR="00014D60" w:rsidRDefault="00014D60" w:rsidP="00014D60">
      <w:pPr>
        <w:jc w:val="both"/>
        <w:rPr>
          <w:rFonts w:cs="Arial"/>
        </w:rPr>
      </w:pPr>
    </w:p>
    <w:p w14:paraId="352E3691" w14:textId="77777777" w:rsidR="00014D60" w:rsidRDefault="00014D60" w:rsidP="00014D60">
      <w:pPr>
        <w:jc w:val="both"/>
        <w:rPr>
          <w:rFonts w:cs="Arial"/>
        </w:rPr>
      </w:pPr>
      <w:r w:rsidRPr="00C77C49">
        <w:rPr>
          <w:rFonts w:cs="Arial"/>
        </w:rPr>
        <w:t xml:space="preserve">When making decisions as to which schemes are included on the capital programme the presented business case must include information on these main factors. </w:t>
      </w:r>
    </w:p>
    <w:p w14:paraId="48F02567" w14:textId="77777777" w:rsidR="00014D60" w:rsidRPr="00C77C49" w:rsidRDefault="00014D60" w:rsidP="00014D60">
      <w:pPr>
        <w:jc w:val="both"/>
        <w:rPr>
          <w:rFonts w:cs="Arial"/>
        </w:rPr>
      </w:pPr>
    </w:p>
    <w:p w14:paraId="3FD7BA42" w14:textId="77777777" w:rsidR="00014D60" w:rsidRPr="00C77C49" w:rsidRDefault="00014D60" w:rsidP="00014D60">
      <w:pPr>
        <w:numPr>
          <w:ilvl w:val="1"/>
          <w:numId w:val="39"/>
        </w:numPr>
        <w:tabs>
          <w:tab w:val="clear" w:pos="1440"/>
          <w:tab w:val="num" w:pos="851"/>
        </w:tabs>
        <w:spacing w:after="200" w:line="276" w:lineRule="auto"/>
        <w:ind w:left="851" w:hanging="425"/>
        <w:jc w:val="both"/>
        <w:rPr>
          <w:rFonts w:cs="Arial"/>
        </w:rPr>
      </w:pPr>
      <w:r w:rsidRPr="00C77C49">
        <w:rPr>
          <w:rFonts w:cs="Arial"/>
        </w:rPr>
        <w:lastRenderedPageBreak/>
        <w:t xml:space="preserve">Financials – All anticipated costs and potential revenue streams must be set out. This should include risk analysis to show factors which may impact upon those numbers and where appropriate sensitivity analysis to show potential future scenarios. </w:t>
      </w:r>
    </w:p>
    <w:p w14:paraId="521147A6" w14:textId="77777777" w:rsidR="00014D60" w:rsidRPr="00C77C49" w:rsidRDefault="00014D60" w:rsidP="00014D60">
      <w:pPr>
        <w:numPr>
          <w:ilvl w:val="1"/>
          <w:numId w:val="39"/>
        </w:numPr>
        <w:tabs>
          <w:tab w:val="clear" w:pos="1440"/>
          <w:tab w:val="num" w:pos="851"/>
        </w:tabs>
        <w:spacing w:after="200" w:line="276" w:lineRule="auto"/>
        <w:ind w:left="851" w:hanging="425"/>
        <w:jc w:val="both"/>
        <w:rPr>
          <w:rFonts w:cs="Arial"/>
        </w:rPr>
      </w:pPr>
      <w:r w:rsidRPr="00C77C49">
        <w:rPr>
          <w:rFonts w:cs="Arial"/>
        </w:rPr>
        <w:t xml:space="preserve">Strategic Objectives – As discussed capital schemes must meet Council priorities and the ability of a scheme to impact upon objectives must be clearly demonstrated. This should include the wider social and environmental impact of the capital project. This must be accompanied by evidence supporting the conclusions made. </w:t>
      </w:r>
    </w:p>
    <w:p w14:paraId="7BF684B1" w14:textId="77777777" w:rsidR="00014D60" w:rsidRPr="00C77C49" w:rsidRDefault="00014D60" w:rsidP="00014D60">
      <w:pPr>
        <w:numPr>
          <w:ilvl w:val="1"/>
          <w:numId w:val="39"/>
        </w:numPr>
        <w:tabs>
          <w:tab w:val="clear" w:pos="1440"/>
          <w:tab w:val="num" w:pos="851"/>
        </w:tabs>
        <w:spacing w:after="200" w:line="276" w:lineRule="auto"/>
        <w:ind w:left="851" w:hanging="425"/>
        <w:jc w:val="both"/>
        <w:rPr>
          <w:rFonts w:cs="Arial"/>
        </w:rPr>
      </w:pPr>
      <w:r w:rsidRPr="00C77C49">
        <w:rPr>
          <w:rFonts w:cs="Arial"/>
        </w:rPr>
        <w:t xml:space="preserve">Capacity - All capital schemes, even those funded by external sources, require officers within the Council to implement them and this must be considered as part of the appraisal process. Where a project requires the procuring of additional resource to deliver the scheme this detail must be included in the financial analysis. </w:t>
      </w:r>
    </w:p>
    <w:p w14:paraId="3B4D6EE4" w14:textId="77777777" w:rsidR="00014D60" w:rsidRPr="00F54349" w:rsidRDefault="00014D60" w:rsidP="00014D60">
      <w:pPr>
        <w:numPr>
          <w:ilvl w:val="1"/>
          <w:numId w:val="39"/>
        </w:numPr>
        <w:tabs>
          <w:tab w:val="clear" w:pos="1440"/>
          <w:tab w:val="num" w:pos="851"/>
        </w:tabs>
        <w:spacing w:after="200" w:line="276" w:lineRule="auto"/>
        <w:ind w:left="851" w:hanging="425"/>
        <w:jc w:val="both"/>
        <w:rPr>
          <w:rFonts w:cs="Arial"/>
        </w:rPr>
      </w:pPr>
      <w:r w:rsidRPr="00C77C49">
        <w:rPr>
          <w:rFonts w:cs="Arial"/>
        </w:rPr>
        <w:t xml:space="preserve">Deliverability - The success of capital projects depends not just on the financial and non-financial resources of the Council. External factors which impact on the deliverability of the project should also be considered as part of the planning process. </w:t>
      </w:r>
    </w:p>
    <w:p w14:paraId="24A3EC95" w14:textId="77777777" w:rsidR="00014D60" w:rsidRPr="00C77C49" w:rsidRDefault="00014D60" w:rsidP="00014D60">
      <w:pPr>
        <w:jc w:val="both"/>
        <w:rPr>
          <w:rFonts w:cs="Arial"/>
        </w:rPr>
      </w:pPr>
    </w:p>
    <w:p w14:paraId="3FB7DC1B" w14:textId="77777777" w:rsidR="00014D60" w:rsidRPr="00C77C49" w:rsidRDefault="00014D60" w:rsidP="00014D60">
      <w:pPr>
        <w:jc w:val="both"/>
        <w:rPr>
          <w:rFonts w:cs="Arial"/>
        </w:rPr>
      </w:pPr>
      <w:r>
        <w:rPr>
          <w:rFonts w:cs="Arial"/>
          <w:b/>
        </w:rPr>
        <w:t>15</w:t>
      </w:r>
      <w:r w:rsidRPr="00FA5096">
        <w:rPr>
          <w:rFonts w:cs="Arial"/>
          <w:b/>
        </w:rPr>
        <w:t>.</w:t>
      </w:r>
      <w:r>
        <w:rPr>
          <w:rFonts w:cs="Arial"/>
          <w:b/>
        </w:rPr>
        <w:tab/>
      </w:r>
      <w:r w:rsidRPr="00C77C49">
        <w:rPr>
          <w:rFonts w:cs="Arial"/>
        </w:rPr>
        <w:t xml:space="preserve"> </w:t>
      </w:r>
      <w:r w:rsidRPr="00C77C49">
        <w:rPr>
          <w:rFonts w:cs="Arial"/>
          <w:b/>
          <w:bCs/>
        </w:rPr>
        <w:t xml:space="preserve">Governance of the Capital Programme </w:t>
      </w:r>
    </w:p>
    <w:p w14:paraId="0B83D8B2" w14:textId="77777777" w:rsidR="00014D60" w:rsidRDefault="00014D60" w:rsidP="00014D60">
      <w:pPr>
        <w:jc w:val="both"/>
        <w:rPr>
          <w:rFonts w:cs="Arial"/>
        </w:rPr>
      </w:pPr>
    </w:p>
    <w:p w14:paraId="5C1CD2D2" w14:textId="77777777" w:rsidR="00014D60" w:rsidRPr="00C77C49" w:rsidRDefault="00014D60" w:rsidP="00014D60">
      <w:pPr>
        <w:jc w:val="both"/>
        <w:rPr>
          <w:rFonts w:cs="Arial"/>
        </w:rPr>
      </w:pPr>
      <w:r w:rsidRPr="00C77C49">
        <w:rPr>
          <w:rFonts w:cs="Arial"/>
        </w:rPr>
        <w:t>This strategy sets out the governanc</w:t>
      </w:r>
      <w:r>
        <w:rPr>
          <w:rFonts w:cs="Arial"/>
        </w:rPr>
        <w:t>e relationship relating to the Capital P</w:t>
      </w:r>
      <w:r w:rsidRPr="00C77C49">
        <w:rPr>
          <w:rFonts w:cs="Arial"/>
        </w:rPr>
        <w:t xml:space="preserve">rogramme and the respective role of Members and Officers in relation to the decision making process. The roles of the various groups are as follows. </w:t>
      </w:r>
    </w:p>
    <w:p w14:paraId="58D097EE" w14:textId="77777777" w:rsidR="00014D60" w:rsidRDefault="00014D60" w:rsidP="00014D60">
      <w:pPr>
        <w:jc w:val="both"/>
        <w:rPr>
          <w:rFonts w:cs="Arial"/>
        </w:rPr>
      </w:pPr>
    </w:p>
    <w:p w14:paraId="723418CB" w14:textId="58F5B5C7" w:rsidR="00014D60" w:rsidRDefault="00014D60" w:rsidP="00014D60">
      <w:pPr>
        <w:jc w:val="both"/>
        <w:rPr>
          <w:rFonts w:cs="Arial"/>
        </w:rPr>
      </w:pPr>
      <w:r>
        <w:rPr>
          <w:rFonts w:cs="Arial"/>
        </w:rPr>
        <w:t>Decision making on the Capital P</w:t>
      </w:r>
      <w:r w:rsidRPr="00C77C49">
        <w:rPr>
          <w:rFonts w:cs="Arial"/>
        </w:rPr>
        <w:t xml:space="preserve">rogramme is likely to be an iterative and often circular process with information flowing both ways between these respective groups. </w:t>
      </w:r>
    </w:p>
    <w:p w14:paraId="53A80ED1" w14:textId="77777777" w:rsidR="00014D60" w:rsidRDefault="00014D60" w:rsidP="00014D60">
      <w:pPr>
        <w:jc w:val="both"/>
        <w:rPr>
          <w:rFonts w:cs="Arial"/>
        </w:rPr>
      </w:pPr>
    </w:p>
    <w:p w14:paraId="714D577E" w14:textId="77777777" w:rsidR="00014D60" w:rsidRDefault="00014D60" w:rsidP="00014D60">
      <w:pPr>
        <w:jc w:val="both"/>
        <w:rPr>
          <w:rFonts w:cs="Arial"/>
        </w:rPr>
      </w:pPr>
      <w:r w:rsidRPr="00C77C49">
        <w:rPr>
          <w:rFonts w:cs="Arial"/>
        </w:rPr>
        <w:t>As an example the following timescale may</w:t>
      </w:r>
      <w:r>
        <w:rPr>
          <w:rFonts w:cs="Arial"/>
        </w:rPr>
        <w:t xml:space="preserve"> be followed for producing the Capital P</w:t>
      </w:r>
      <w:r w:rsidRPr="00C77C49">
        <w:rPr>
          <w:rFonts w:cs="Arial"/>
        </w:rPr>
        <w:t xml:space="preserve">rogramme during the main budget setting process. </w:t>
      </w:r>
    </w:p>
    <w:p w14:paraId="3F22685F" w14:textId="77777777" w:rsidR="00014D60" w:rsidRPr="00C77C49" w:rsidRDefault="00014D60" w:rsidP="00014D60">
      <w:pPr>
        <w:jc w:val="both"/>
        <w:rPr>
          <w:rFonts w:cs="Arial"/>
        </w:rPr>
      </w:pPr>
    </w:p>
    <w:p w14:paraId="260AD80F" w14:textId="77777777" w:rsidR="00014D60" w:rsidRPr="00C77C49" w:rsidRDefault="00014D60" w:rsidP="00014D60">
      <w:pPr>
        <w:pBdr>
          <w:top w:val="single" w:sz="4" w:space="1" w:color="auto"/>
          <w:left w:val="single" w:sz="4" w:space="4" w:color="auto"/>
          <w:bottom w:val="single" w:sz="4" w:space="1" w:color="auto"/>
          <w:right w:val="single" w:sz="4" w:space="4" w:color="auto"/>
        </w:pBdr>
        <w:spacing w:after="130"/>
        <w:jc w:val="both"/>
        <w:rPr>
          <w:rFonts w:cs="Arial"/>
          <w:b/>
        </w:rPr>
      </w:pPr>
      <w:r>
        <w:rPr>
          <w:rFonts w:cs="Arial"/>
          <w:b/>
        </w:rPr>
        <w:t>Council</w:t>
      </w:r>
    </w:p>
    <w:p w14:paraId="090F7F3C" w14:textId="77777777" w:rsidR="00014D60" w:rsidRPr="00C77C49" w:rsidRDefault="00014D60" w:rsidP="00014D60">
      <w:pPr>
        <w:pBdr>
          <w:top w:val="single" w:sz="4" w:space="1" w:color="auto"/>
          <w:left w:val="single" w:sz="4" w:space="4" w:color="auto"/>
          <w:bottom w:val="single" w:sz="4" w:space="1" w:color="auto"/>
          <w:right w:val="single" w:sz="4" w:space="4" w:color="auto"/>
        </w:pBdr>
        <w:spacing w:after="130"/>
        <w:jc w:val="both"/>
        <w:rPr>
          <w:rFonts w:cs="Arial"/>
        </w:rPr>
      </w:pPr>
      <w:r w:rsidRPr="00C77C49">
        <w:rPr>
          <w:rFonts w:cs="Arial"/>
        </w:rPr>
        <w:t>•Formally</w:t>
      </w:r>
      <w:r>
        <w:rPr>
          <w:rFonts w:cs="Arial"/>
        </w:rPr>
        <w:t xml:space="preserve"> agrees the Capital P</w:t>
      </w:r>
      <w:r w:rsidRPr="00C77C49">
        <w:rPr>
          <w:rFonts w:cs="Arial"/>
        </w:rPr>
        <w:t xml:space="preserve">rogramme </w:t>
      </w:r>
    </w:p>
    <w:p w14:paraId="3290D4B9" w14:textId="77777777" w:rsidR="00014D60" w:rsidRPr="00C77C49" w:rsidRDefault="00014D60" w:rsidP="00014D60">
      <w:pPr>
        <w:pBdr>
          <w:top w:val="single" w:sz="4" w:space="1" w:color="auto"/>
          <w:left w:val="single" w:sz="4" w:space="4" w:color="auto"/>
          <w:bottom w:val="single" w:sz="4" w:space="1" w:color="auto"/>
          <w:right w:val="single" w:sz="4" w:space="4" w:color="auto"/>
        </w:pBdr>
        <w:spacing w:after="130"/>
        <w:jc w:val="both"/>
        <w:rPr>
          <w:rFonts w:cs="Arial"/>
        </w:rPr>
      </w:pPr>
      <w:r w:rsidRPr="00C77C49">
        <w:rPr>
          <w:rFonts w:cs="Arial"/>
        </w:rPr>
        <w:t xml:space="preserve">•Receives budget monitoring reports covering financial and non-financial elements of capital </w:t>
      </w:r>
      <w:r>
        <w:rPr>
          <w:rFonts w:cs="Arial"/>
        </w:rPr>
        <w:t xml:space="preserve"> </w:t>
      </w:r>
      <w:r w:rsidRPr="00C77C49">
        <w:rPr>
          <w:rFonts w:cs="Arial"/>
        </w:rPr>
        <w:t xml:space="preserve">schemes </w:t>
      </w:r>
    </w:p>
    <w:p w14:paraId="793D9253" w14:textId="77777777" w:rsidR="00014D60" w:rsidRPr="00C77C49" w:rsidRDefault="00014D60" w:rsidP="00014D60">
      <w:pPr>
        <w:pBdr>
          <w:top w:val="single" w:sz="4" w:space="1" w:color="auto"/>
          <w:left w:val="single" w:sz="4" w:space="4" w:color="auto"/>
          <w:bottom w:val="single" w:sz="4" w:space="1" w:color="auto"/>
          <w:right w:val="single" w:sz="4" w:space="4" w:color="auto"/>
        </w:pBdr>
        <w:spacing w:after="130"/>
        <w:jc w:val="both"/>
        <w:rPr>
          <w:rFonts w:cs="Arial"/>
        </w:rPr>
      </w:pPr>
      <w:r w:rsidRPr="00C77C49">
        <w:rPr>
          <w:rFonts w:cs="Arial"/>
        </w:rPr>
        <w:t xml:space="preserve">•Approves commercial capital investments </w:t>
      </w:r>
    </w:p>
    <w:p w14:paraId="4A23612E" w14:textId="77777777" w:rsidR="00014D60" w:rsidRPr="00C77C49" w:rsidRDefault="00014D60" w:rsidP="00014D60">
      <w:pPr>
        <w:pBdr>
          <w:top w:val="single" w:sz="4" w:space="1" w:color="auto"/>
          <w:left w:val="single" w:sz="4" w:space="4" w:color="auto"/>
          <w:bottom w:val="single" w:sz="4" w:space="1" w:color="auto"/>
          <w:right w:val="single" w:sz="4" w:space="4" w:color="auto"/>
        </w:pBdr>
        <w:spacing w:after="130"/>
        <w:jc w:val="both"/>
        <w:rPr>
          <w:rFonts w:cs="Arial"/>
          <w:b/>
        </w:rPr>
      </w:pPr>
      <w:r w:rsidRPr="00C77C49">
        <w:rPr>
          <w:rFonts w:cs="Arial"/>
          <w:b/>
        </w:rPr>
        <w:t>Capital Forum</w:t>
      </w:r>
    </w:p>
    <w:p w14:paraId="4A53F242" w14:textId="77777777" w:rsidR="00014D60" w:rsidRPr="00C77C49" w:rsidRDefault="00014D60" w:rsidP="00014D60">
      <w:pPr>
        <w:pBdr>
          <w:top w:val="single" w:sz="4" w:space="1" w:color="auto"/>
          <w:left w:val="single" w:sz="4" w:space="4" w:color="auto"/>
          <w:bottom w:val="single" w:sz="4" w:space="1" w:color="auto"/>
          <w:right w:val="single" w:sz="4" w:space="4" w:color="auto"/>
        </w:pBdr>
        <w:spacing w:after="130"/>
        <w:jc w:val="both"/>
        <w:rPr>
          <w:rFonts w:cs="Arial"/>
        </w:rPr>
      </w:pPr>
      <w:r w:rsidRPr="00C77C49">
        <w:rPr>
          <w:rFonts w:cs="Arial"/>
        </w:rPr>
        <w:t xml:space="preserve">•Allows panel a chance to comment on capital schemes before formal approval </w:t>
      </w:r>
      <w:r>
        <w:rPr>
          <w:rFonts w:cs="Arial"/>
        </w:rPr>
        <w:t>of releasing the funding approved as part of the Capital Programme</w:t>
      </w:r>
    </w:p>
    <w:p w14:paraId="1181B1EF" w14:textId="77777777" w:rsidR="00014D60" w:rsidRPr="00C77C49" w:rsidRDefault="00014D60" w:rsidP="00014D60">
      <w:pPr>
        <w:pBdr>
          <w:top w:val="single" w:sz="4" w:space="1" w:color="auto"/>
          <w:left w:val="single" w:sz="4" w:space="4" w:color="auto"/>
          <w:bottom w:val="single" w:sz="4" w:space="1" w:color="auto"/>
          <w:right w:val="single" w:sz="4" w:space="4" w:color="auto"/>
        </w:pBdr>
        <w:spacing w:after="130"/>
        <w:jc w:val="both"/>
        <w:rPr>
          <w:rFonts w:cs="Arial"/>
          <w:b/>
        </w:rPr>
      </w:pPr>
      <w:r w:rsidRPr="00C77C49">
        <w:rPr>
          <w:rFonts w:cs="Arial"/>
          <w:b/>
        </w:rPr>
        <w:t xml:space="preserve">Corporate Team </w:t>
      </w:r>
    </w:p>
    <w:p w14:paraId="3793DD24" w14:textId="77777777" w:rsidR="00014D60" w:rsidRPr="00C77C49" w:rsidRDefault="00014D60" w:rsidP="00014D60">
      <w:pPr>
        <w:pBdr>
          <w:top w:val="single" w:sz="4" w:space="1" w:color="auto"/>
          <w:left w:val="single" w:sz="4" w:space="4" w:color="auto"/>
          <w:bottom w:val="single" w:sz="4" w:space="1" w:color="auto"/>
          <w:right w:val="single" w:sz="4" w:space="4" w:color="auto"/>
        </w:pBdr>
        <w:spacing w:after="130"/>
        <w:jc w:val="both"/>
        <w:rPr>
          <w:rFonts w:cs="Arial"/>
        </w:rPr>
      </w:pPr>
      <w:r w:rsidRPr="00C77C49">
        <w:rPr>
          <w:rFonts w:cs="Arial"/>
        </w:rPr>
        <w:t xml:space="preserve">•Reviews Business Cases submitted </w:t>
      </w:r>
    </w:p>
    <w:p w14:paraId="3E977436" w14:textId="77777777" w:rsidR="00014D60" w:rsidRPr="00C77C49" w:rsidRDefault="00014D60" w:rsidP="00014D60">
      <w:pPr>
        <w:pBdr>
          <w:top w:val="single" w:sz="4" w:space="1" w:color="auto"/>
          <w:left w:val="single" w:sz="4" w:space="4" w:color="auto"/>
          <w:bottom w:val="single" w:sz="4" w:space="1" w:color="auto"/>
          <w:right w:val="single" w:sz="4" w:space="4" w:color="auto"/>
        </w:pBdr>
        <w:spacing w:after="130"/>
        <w:jc w:val="both"/>
        <w:rPr>
          <w:rFonts w:cs="Arial"/>
        </w:rPr>
      </w:pPr>
      <w:r w:rsidRPr="00C77C49">
        <w:rPr>
          <w:rFonts w:cs="Arial"/>
        </w:rPr>
        <w:t xml:space="preserve">•Performs initial sift of viable schemes </w:t>
      </w:r>
    </w:p>
    <w:p w14:paraId="5352160E" w14:textId="77777777" w:rsidR="00014D60" w:rsidRPr="00C77C49" w:rsidRDefault="00014D60" w:rsidP="00014D60">
      <w:pPr>
        <w:pBdr>
          <w:top w:val="single" w:sz="4" w:space="1" w:color="auto"/>
          <w:left w:val="single" w:sz="4" w:space="4" w:color="auto"/>
          <w:bottom w:val="single" w:sz="4" w:space="1" w:color="auto"/>
          <w:right w:val="single" w:sz="4" w:space="4" w:color="auto"/>
        </w:pBdr>
        <w:spacing w:after="130"/>
        <w:jc w:val="both"/>
        <w:rPr>
          <w:rFonts w:cs="Arial"/>
        </w:rPr>
      </w:pPr>
      <w:r w:rsidRPr="00C77C49">
        <w:rPr>
          <w:rFonts w:cs="Arial"/>
        </w:rPr>
        <w:lastRenderedPageBreak/>
        <w:t xml:space="preserve">•Approves proposed list of capital schemes </w:t>
      </w:r>
    </w:p>
    <w:p w14:paraId="0F24FA25" w14:textId="77777777" w:rsidR="00014D60" w:rsidRPr="00C77C49" w:rsidRDefault="00014D60" w:rsidP="00014D60">
      <w:pPr>
        <w:pBdr>
          <w:top w:val="single" w:sz="4" w:space="1" w:color="auto"/>
          <w:left w:val="single" w:sz="4" w:space="4" w:color="auto"/>
          <w:bottom w:val="single" w:sz="4" w:space="1" w:color="auto"/>
          <w:right w:val="single" w:sz="4" w:space="4" w:color="auto"/>
        </w:pBdr>
        <w:spacing w:after="130"/>
        <w:jc w:val="both"/>
        <w:rPr>
          <w:rFonts w:cs="Arial"/>
          <w:b/>
        </w:rPr>
      </w:pPr>
      <w:r w:rsidRPr="00C77C49">
        <w:rPr>
          <w:rFonts w:cs="Arial"/>
          <w:b/>
        </w:rPr>
        <w:t xml:space="preserve">Service Managers / Heads of Service </w:t>
      </w:r>
    </w:p>
    <w:p w14:paraId="189D15DD" w14:textId="77777777" w:rsidR="00014D60" w:rsidRPr="00C77C49" w:rsidRDefault="00014D60" w:rsidP="00014D60">
      <w:pPr>
        <w:pBdr>
          <w:top w:val="single" w:sz="4" w:space="1" w:color="auto"/>
          <w:left w:val="single" w:sz="4" w:space="4" w:color="auto"/>
          <w:bottom w:val="single" w:sz="4" w:space="1" w:color="auto"/>
          <w:right w:val="single" w:sz="4" w:space="4" w:color="auto"/>
        </w:pBdr>
        <w:spacing w:after="130"/>
        <w:jc w:val="both"/>
        <w:rPr>
          <w:rFonts w:cs="Arial"/>
        </w:rPr>
      </w:pPr>
      <w:r w:rsidRPr="00C77C49">
        <w:rPr>
          <w:rFonts w:cs="Arial"/>
        </w:rPr>
        <w:t xml:space="preserve">•Identify priorities and opportunities for capital investment </w:t>
      </w:r>
    </w:p>
    <w:p w14:paraId="5D5C9082" w14:textId="77777777" w:rsidR="00014D60" w:rsidRPr="00C77C49" w:rsidRDefault="00014D60" w:rsidP="00014D60">
      <w:pPr>
        <w:pBdr>
          <w:top w:val="single" w:sz="4" w:space="1" w:color="auto"/>
          <w:left w:val="single" w:sz="4" w:space="4" w:color="auto"/>
          <w:bottom w:val="single" w:sz="4" w:space="1" w:color="auto"/>
          <w:right w:val="single" w:sz="4" w:space="4" w:color="auto"/>
        </w:pBdr>
        <w:spacing w:after="130"/>
        <w:jc w:val="both"/>
        <w:rPr>
          <w:rFonts w:cs="Arial"/>
        </w:rPr>
      </w:pPr>
      <w:r w:rsidRPr="00C77C49">
        <w:rPr>
          <w:rFonts w:cs="Arial"/>
        </w:rPr>
        <w:t xml:space="preserve">•Act as, or appoint, project managers to lead on schemes and complete outline business cases </w:t>
      </w:r>
    </w:p>
    <w:p w14:paraId="4320A12B" w14:textId="77777777" w:rsidR="00014D60" w:rsidRDefault="00014D60" w:rsidP="00014D60">
      <w:pPr>
        <w:jc w:val="both"/>
        <w:rPr>
          <w:rFonts w:cs="Arial"/>
          <w:b/>
        </w:rPr>
      </w:pPr>
    </w:p>
    <w:p w14:paraId="55D3D592" w14:textId="77777777" w:rsidR="00014D60" w:rsidRPr="00C77C49" w:rsidRDefault="00014D60" w:rsidP="00014D60">
      <w:pPr>
        <w:jc w:val="both"/>
        <w:rPr>
          <w:rFonts w:cs="Arial"/>
        </w:rPr>
      </w:pPr>
      <w:r>
        <w:rPr>
          <w:rFonts w:cs="Arial"/>
          <w:b/>
        </w:rPr>
        <w:t>16</w:t>
      </w:r>
      <w:r w:rsidRPr="00FA5096">
        <w:rPr>
          <w:rFonts w:cs="Arial"/>
          <w:b/>
        </w:rPr>
        <w:t>.</w:t>
      </w:r>
      <w:r>
        <w:rPr>
          <w:rFonts w:cs="Arial"/>
          <w:b/>
        </w:rPr>
        <w:tab/>
      </w:r>
      <w:r w:rsidRPr="00C77C49">
        <w:rPr>
          <w:rFonts w:cs="Arial"/>
        </w:rPr>
        <w:t xml:space="preserve"> </w:t>
      </w:r>
      <w:r w:rsidRPr="00C77C49">
        <w:rPr>
          <w:rFonts w:cs="Arial"/>
          <w:b/>
          <w:bCs/>
        </w:rPr>
        <w:t xml:space="preserve">In-Year Capital Decisions </w:t>
      </w:r>
    </w:p>
    <w:p w14:paraId="3AB531E8" w14:textId="77777777" w:rsidR="00014D60" w:rsidRDefault="00014D60" w:rsidP="00014D60">
      <w:pPr>
        <w:jc w:val="both"/>
        <w:rPr>
          <w:rFonts w:cs="Arial"/>
        </w:rPr>
      </w:pPr>
    </w:p>
    <w:p w14:paraId="54487263" w14:textId="77777777" w:rsidR="00014D60" w:rsidRPr="00C77C49" w:rsidRDefault="00014D60" w:rsidP="00014D60">
      <w:pPr>
        <w:jc w:val="both"/>
        <w:rPr>
          <w:rFonts w:cs="Arial"/>
        </w:rPr>
      </w:pPr>
      <w:r w:rsidRPr="00C77C49">
        <w:rPr>
          <w:rFonts w:cs="Arial"/>
        </w:rPr>
        <w:t xml:space="preserve">Selecting projects to go onto the Capital Programme must remain possible outside of the usual capital budget setting process. The authority needs the flexibility to take advantage of schemes which present themselves at any stage during the year. </w:t>
      </w:r>
    </w:p>
    <w:p w14:paraId="7A592963" w14:textId="77777777" w:rsidR="00014D60" w:rsidRDefault="00014D60" w:rsidP="00014D60">
      <w:pPr>
        <w:jc w:val="both"/>
        <w:rPr>
          <w:rFonts w:cs="Arial"/>
          <w:b/>
        </w:rPr>
      </w:pPr>
    </w:p>
    <w:p w14:paraId="4995AA9C" w14:textId="77777777" w:rsidR="00014D60" w:rsidRPr="00C77C49" w:rsidRDefault="00014D60" w:rsidP="00014D60">
      <w:pPr>
        <w:jc w:val="both"/>
        <w:rPr>
          <w:rFonts w:cs="Arial"/>
        </w:rPr>
      </w:pPr>
      <w:r>
        <w:rPr>
          <w:rFonts w:cs="Arial"/>
          <w:b/>
        </w:rPr>
        <w:t>17</w:t>
      </w:r>
      <w:r w:rsidRPr="00FA5096">
        <w:rPr>
          <w:rFonts w:cs="Arial"/>
          <w:b/>
        </w:rPr>
        <w:t>.</w:t>
      </w:r>
      <w:r>
        <w:rPr>
          <w:rFonts w:cs="Arial"/>
          <w:b/>
        </w:rPr>
        <w:tab/>
      </w:r>
      <w:r w:rsidRPr="00C77C49">
        <w:rPr>
          <w:rFonts w:cs="Arial"/>
        </w:rPr>
        <w:t xml:space="preserve"> </w:t>
      </w:r>
      <w:r w:rsidRPr="00C77C49">
        <w:rPr>
          <w:rFonts w:cs="Arial"/>
          <w:b/>
          <w:bCs/>
        </w:rPr>
        <w:t xml:space="preserve">Monitoring Capital Projects </w:t>
      </w:r>
    </w:p>
    <w:p w14:paraId="0DBEEF07" w14:textId="77777777" w:rsidR="00014D60" w:rsidRDefault="00014D60" w:rsidP="00014D60">
      <w:pPr>
        <w:jc w:val="both"/>
        <w:rPr>
          <w:rFonts w:cs="Arial"/>
        </w:rPr>
      </w:pPr>
    </w:p>
    <w:p w14:paraId="70E4968A" w14:textId="77777777" w:rsidR="00014D60" w:rsidRPr="00C77C49" w:rsidRDefault="00014D60" w:rsidP="00014D60">
      <w:pPr>
        <w:jc w:val="both"/>
        <w:rPr>
          <w:rFonts w:cs="Arial"/>
        </w:rPr>
      </w:pPr>
      <w:r w:rsidRPr="00C77C49">
        <w:rPr>
          <w:rFonts w:cs="Arial"/>
        </w:rPr>
        <w:t xml:space="preserve">Effective monitoring of projects is a vital element of good capital governance. </w:t>
      </w:r>
    </w:p>
    <w:p w14:paraId="0C70126A" w14:textId="77777777" w:rsidR="00014D60" w:rsidRDefault="00014D60" w:rsidP="00014D60">
      <w:pPr>
        <w:jc w:val="both"/>
        <w:rPr>
          <w:rFonts w:cs="Arial"/>
        </w:rPr>
      </w:pPr>
    </w:p>
    <w:p w14:paraId="427F1DBC" w14:textId="77777777" w:rsidR="00014D60" w:rsidRPr="00C77C49" w:rsidRDefault="00014D60" w:rsidP="00014D60">
      <w:pPr>
        <w:jc w:val="both"/>
        <w:rPr>
          <w:rFonts w:cs="Arial"/>
        </w:rPr>
      </w:pPr>
      <w:r w:rsidRPr="00C77C49">
        <w:rPr>
          <w:rFonts w:cs="Arial"/>
        </w:rPr>
        <w:t xml:space="preserve">Capital projects are often significant not only in terms of financial resources required but in terms of organisational capacity, impact upon Service delivery and reputational risk. It is therefore vital that there is sufficient monitoring carried out upon schemes to allow stakeholders to be informed of progress and for members and officers to make decisions as required. </w:t>
      </w:r>
    </w:p>
    <w:p w14:paraId="21A49C1A" w14:textId="77777777" w:rsidR="00014D60" w:rsidRDefault="00014D60" w:rsidP="00014D60">
      <w:pPr>
        <w:jc w:val="both"/>
        <w:rPr>
          <w:rFonts w:cs="Arial"/>
        </w:rPr>
      </w:pPr>
    </w:p>
    <w:p w14:paraId="43054D03" w14:textId="77777777" w:rsidR="00014D60" w:rsidRPr="00166466" w:rsidRDefault="00014D60" w:rsidP="00014D60">
      <w:pPr>
        <w:jc w:val="both"/>
        <w:rPr>
          <w:rFonts w:cs="Arial"/>
        </w:rPr>
      </w:pPr>
      <w:r w:rsidRPr="00166466">
        <w:rPr>
          <w:rFonts w:cs="Arial"/>
        </w:rPr>
        <w:t xml:space="preserve">In order to meet these requirements the Corporate Team </w:t>
      </w:r>
      <w:r>
        <w:rPr>
          <w:rFonts w:cs="Arial"/>
        </w:rPr>
        <w:t>prepare</w:t>
      </w:r>
      <w:r w:rsidRPr="00166466">
        <w:rPr>
          <w:rFonts w:cs="Arial"/>
        </w:rPr>
        <w:t xml:space="preserve"> quarterly monitoring report showing the current spend against capital projects, the forecast for the end of the financial year include the underspend or slippage into the following year at the end of each financial quarter, with an outturn report at year-end.  </w:t>
      </w:r>
    </w:p>
    <w:p w14:paraId="3D685571" w14:textId="77777777" w:rsidR="00014D60" w:rsidRDefault="00014D60" w:rsidP="00014D60">
      <w:pPr>
        <w:jc w:val="both"/>
        <w:rPr>
          <w:rFonts w:cs="Arial"/>
        </w:rPr>
      </w:pPr>
    </w:p>
    <w:p w14:paraId="66A2925C" w14:textId="77777777" w:rsidR="00014D60" w:rsidRPr="00166466" w:rsidRDefault="00014D60" w:rsidP="00014D60">
      <w:pPr>
        <w:jc w:val="both"/>
        <w:rPr>
          <w:rFonts w:cs="Arial"/>
        </w:rPr>
      </w:pPr>
      <w:r>
        <w:rPr>
          <w:rFonts w:cs="Arial"/>
        </w:rPr>
        <w:t>Cabinet</w:t>
      </w:r>
      <w:r w:rsidRPr="00166466">
        <w:rPr>
          <w:rFonts w:cs="Arial"/>
        </w:rPr>
        <w:t xml:space="preserve"> receive quarterly information on the progress of capital projects as part of the quarterly finance update. </w:t>
      </w:r>
    </w:p>
    <w:p w14:paraId="75B76338" w14:textId="77777777" w:rsidR="00014D60" w:rsidRDefault="00014D60" w:rsidP="00014D60">
      <w:pPr>
        <w:jc w:val="both"/>
        <w:rPr>
          <w:rFonts w:cs="Arial"/>
          <w:b/>
          <w:bCs/>
        </w:rPr>
      </w:pPr>
    </w:p>
    <w:p w14:paraId="17664D63" w14:textId="77777777" w:rsidR="00014D60" w:rsidRDefault="00014D60" w:rsidP="00014D60">
      <w:pPr>
        <w:jc w:val="both"/>
        <w:rPr>
          <w:rFonts w:cs="Arial"/>
          <w:b/>
          <w:bCs/>
        </w:rPr>
      </w:pPr>
    </w:p>
    <w:p w14:paraId="344C02CB" w14:textId="77777777" w:rsidR="00014D60" w:rsidRPr="00C77C49" w:rsidRDefault="00014D60" w:rsidP="00014D60">
      <w:pPr>
        <w:jc w:val="both"/>
        <w:rPr>
          <w:rFonts w:cs="Arial"/>
        </w:rPr>
      </w:pPr>
      <w:r>
        <w:rPr>
          <w:rFonts w:cs="Arial"/>
          <w:b/>
          <w:bCs/>
        </w:rPr>
        <w:t xml:space="preserve">Section 3 </w:t>
      </w:r>
      <w:r w:rsidRPr="00C77C49">
        <w:rPr>
          <w:rFonts w:cs="Arial"/>
          <w:b/>
          <w:bCs/>
        </w:rPr>
        <w:t xml:space="preserve">- </w:t>
      </w:r>
      <w:r w:rsidRPr="00F54349">
        <w:rPr>
          <w:rFonts w:cs="Arial"/>
          <w:b/>
          <w:bCs/>
          <w:caps/>
          <w:u w:val="single"/>
        </w:rPr>
        <w:t>Financing the Capital Programme</w:t>
      </w:r>
      <w:r w:rsidRPr="00C77C49">
        <w:rPr>
          <w:rFonts w:cs="Arial"/>
          <w:b/>
          <w:bCs/>
        </w:rPr>
        <w:t xml:space="preserve"> </w:t>
      </w:r>
    </w:p>
    <w:p w14:paraId="6313FFA9" w14:textId="77777777" w:rsidR="00014D60" w:rsidRDefault="00014D60" w:rsidP="00014D60">
      <w:pPr>
        <w:jc w:val="both"/>
        <w:rPr>
          <w:rFonts w:cs="Arial"/>
          <w:b/>
          <w:bCs/>
        </w:rPr>
      </w:pPr>
    </w:p>
    <w:p w14:paraId="1143CF0A" w14:textId="77777777" w:rsidR="00014D60" w:rsidRPr="00C77C49" w:rsidRDefault="00014D60" w:rsidP="00014D60">
      <w:pPr>
        <w:jc w:val="both"/>
        <w:rPr>
          <w:rFonts w:cs="Arial"/>
        </w:rPr>
      </w:pPr>
      <w:r>
        <w:rPr>
          <w:rFonts w:cs="Arial"/>
          <w:b/>
          <w:bCs/>
        </w:rPr>
        <w:t>18</w:t>
      </w:r>
      <w:r w:rsidRPr="00C77C49">
        <w:rPr>
          <w:rFonts w:cs="Arial"/>
          <w:b/>
          <w:bCs/>
        </w:rPr>
        <w:t>.</w:t>
      </w:r>
      <w:r>
        <w:rPr>
          <w:rFonts w:cs="Arial"/>
          <w:b/>
          <w:bCs/>
        </w:rPr>
        <w:tab/>
      </w:r>
      <w:r w:rsidRPr="00C77C49">
        <w:rPr>
          <w:rFonts w:cs="Arial"/>
          <w:b/>
          <w:bCs/>
        </w:rPr>
        <w:t xml:space="preserve"> Capital Funding </w:t>
      </w:r>
    </w:p>
    <w:p w14:paraId="716A6189" w14:textId="77777777" w:rsidR="00014D60" w:rsidRDefault="00014D60" w:rsidP="00014D60">
      <w:pPr>
        <w:jc w:val="both"/>
        <w:rPr>
          <w:rFonts w:cs="Arial"/>
        </w:rPr>
      </w:pPr>
    </w:p>
    <w:p w14:paraId="192CB9BC" w14:textId="77777777" w:rsidR="00014D60" w:rsidRPr="00C77C49" w:rsidRDefault="00014D60" w:rsidP="00014D60">
      <w:pPr>
        <w:jc w:val="both"/>
        <w:rPr>
          <w:rFonts w:cs="Arial"/>
        </w:rPr>
      </w:pPr>
      <w:r w:rsidRPr="00C77C49">
        <w:rPr>
          <w:rFonts w:cs="Arial"/>
        </w:rPr>
        <w:t xml:space="preserve">There are a number of distinct sources of funding which can be utilised to finance capital expenditure. Some funding sources are ring fenced and can only be used for Housing Revenue Account capital expenditure, or a particular capital project. Consideration of funding must be made when projects are at the planning stage. No capital project will be put forward without funding having been identified to complete the project. Where capital schemes are in multiple phases, perhaps requiring an initial development phase to ensure funding for the final phases, this will be considered as part of the planning stage and clearly reported. </w:t>
      </w:r>
    </w:p>
    <w:p w14:paraId="63DE299A" w14:textId="77777777" w:rsidR="00014D60" w:rsidRDefault="00014D60" w:rsidP="00014D60">
      <w:pPr>
        <w:jc w:val="both"/>
        <w:rPr>
          <w:rFonts w:cs="Arial"/>
        </w:rPr>
      </w:pPr>
    </w:p>
    <w:p w14:paraId="5CEEDDA6" w14:textId="77777777" w:rsidR="00014D60" w:rsidRPr="00C77C49" w:rsidRDefault="00014D60" w:rsidP="00014D60">
      <w:pPr>
        <w:jc w:val="both"/>
        <w:rPr>
          <w:rFonts w:cs="Arial"/>
        </w:rPr>
      </w:pPr>
      <w:r w:rsidRPr="00C77C49">
        <w:rPr>
          <w:rFonts w:cs="Arial"/>
        </w:rPr>
        <w:t xml:space="preserve">Capital funding cannot be used to fund revenue costs which may arise from a capital scheme such as consultant’s costs on feasibility before a project is identified. </w:t>
      </w:r>
    </w:p>
    <w:p w14:paraId="52BA07F0" w14:textId="77777777" w:rsidR="00014D60" w:rsidRDefault="00014D60" w:rsidP="00014D60">
      <w:pPr>
        <w:jc w:val="both"/>
        <w:rPr>
          <w:rFonts w:cs="Arial"/>
          <w:b/>
          <w:bCs/>
        </w:rPr>
      </w:pPr>
    </w:p>
    <w:p w14:paraId="45CF6BD6" w14:textId="77777777" w:rsidR="00014D60" w:rsidRPr="00C77C49" w:rsidRDefault="00014D60" w:rsidP="00014D60">
      <w:pPr>
        <w:jc w:val="both"/>
        <w:rPr>
          <w:rFonts w:cs="Arial"/>
        </w:rPr>
      </w:pPr>
      <w:r>
        <w:rPr>
          <w:rFonts w:cs="Arial"/>
          <w:b/>
          <w:bCs/>
        </w:rPr>
        <w:lastRenderedPageBreak/>
        <w:t>19.</w:t>
      </w:r>
      <w:r>
        <w:rPr>
          <w:rFonts w:cs="Arial"/>
          <w:b/>
          <w:bCs/>
        </w:rPr>
        <w:tab/>
      </w:r>
      <w:r w:rsidRPr="00C77C49">
        <w:rPr>
          <w:rFonts w:cs="Arial"/>
          <w:b/>
          <w:bCs/>
        </w:rPr>
        <w:t xml:space="preserve"> Capital Resources </w:t>
      </w:r>
    </w:p>
    <w:p w14:paraId="4168CEED" w14:textId="77777777" w:rsidR="00014D60" w:rsidRDefault="00014D60" w:rsidP="00014D60">
      <w:pPr>
        <w:jc w:val="both"/>
        <w:rPr>
          <w:rFonts w:cs="Arial"/>
          <w:b/>
          <w:bCs/>
        </w:rPr>
      </w:pPr>
    </w:p>
    <w:p w14:paraId="6CD7404C" w14:textId="77777777" w:rsidR="00014D60" w:rsidRPr="00C77C49" w:rsidRDefault="00014D60" w:rsidP="00014D60">
      <w:pPr>
        <w:jc w:val="both"/>
        <w:rPr>
          <w:rFonts w:cs="Arial"/>
        </w:rPr>
      </w:pPr>
      <w:r w:rsidRPr="00C77C49">
        <w:rPr>
          <w:rFonts w:cs="Arial"/>
          <w:b/>
          <w:bCs/>
        </w:rPr>
        <w:t xml:space="preserve">Capital Receipts </w:t>
      </w:r>
    </w:p>
    <w:p w14:paraId="18CA9A86" w14:textId="77777777" w:rsidR="00014D60" w:rsidRDefault="00014D60" w:rsidP="00014D60">
      <w:pPr>
        <w:jc w:val="both"/>
        <w:rPr>
          <w:rFonts w:cs="Arial"/>
        </w:rPr>
      </w:pPr>
    </w:p>
    <w:p w14:paraId="2F96C459" w14:textId="77777777" w:rsidR="00014D60" w:rsidRPr="00C77C49" w:rsidRDefault="00014D60" w:rsidP="00014D60">
      <w:pPr>
        <w:jc w:val="both"/>
        <w:rPr>
          <w:rFonts w:cs="Arial"/>
        </w:rPr>
      </w:pPr>
      <w:r w:rsidRPr="00C77C49">
        <w:rPr>
          <w:rFonts w:cs="Arial"/>
        </w:rPr>
        <w:t>The sale of assets with a value of more than £</w:t>
      </w:r>
      <w:r>
        <w:rPr>
          <w:rFonts w:cs="Arial"/>
        </w:rPr>
        <w:t>1</w:t>
      </w:r>
      <w:r w:rsidRPr="00C77C49">
        <w:rPr>
          <w:rFonts w:cs="Arial"/>
        </w:rPr>
        <w:t xml:space="preserve">0,000 generates income known as capital receipts. Legislation requires these to be spent on either new capital investment or the repayment of existing debt. The government is allowing some flexibility in the use of capital receipts up until 31 March 2022 to fund revenue costs of transformation projects where these are expected to generate revenue savings in future years. </w:t>
      </w:r>
    </w:p>
    <w:p w14:paraId="45F7509D" w14:textId="77777777" w:rsidR="00014D60" w:rsidRDefault="00014D60" w:rsidP="00014D60">
      <w:pPr>
        <w:jc w:val="both"/>
        <w:rPr>
          <w:rFonts w:cs="Arial"/>
        </w:rPr>
      </w:pPr>
    </w:p>
    <w:p w14:paraId="3BDC7F69" w14:textId="77777777" w:rsidR="00014D60" w:rsidRPr="00C77C49" w:rsidRDefault="00014D60" w:rsidP="00014D60">
      <w:pPr>
        <w:jc w:val="both"/>
        <w:rPr>
          <w:rFonts w:cs="Arial"/>
        </w:rPr>
      </w:pPr>
      <w:r w:rsidRPr="00C77C49">
        <w:rPr>
          <w:rFonts w:cs="Arial"/>
        </w:rPr>
        <w:t xml:space="preserve">HRA Right to Buy compulsory sale of council houses generate receipts that may be retained to cover the cost of transacting the sales and to cover outstanding debt on the property sold, but a proportion of the remainder must be surrendered to Central Government. </w:t>
      </w:r>
    </w:p>
    <w:p w14:paraId="1510B9F6" w14:textId="77777777" w:rsidR="00014D60" w:rsidRDefault="00014D60" w:rsidP="00014D60">
      <w:pPr>
        <w:jc w:val="both"/>
        <w:rPr>
          <w:rFonts w:cs="Arial"/>
        </w:rPr>
      </w:pPr>
    </w:p>
    <w:p w14:paraId="3DBACB8A" w14:textId="77777777" w:rsidR="00014D60" w:rsidRPr="00C77C49" w:rsidRDefault="00014D60" w:rsidP="00014D60">
      <w:pPr>
        <w:jc w:val="both"/>
        <w:rPr>
          <w:rFonts w:cs="Arial"/>
        </w:rPr>
      </w:pPr>
      <w:r w:rsidRPr="00C77C49">
        <w:rPr>
          <w:rFonts w:cs="Arial"/>
        </w:rPr>
        <w:t xml:space="preserve">All other HRA capital receipts may be retained provided they are spent on affordable housing, regeneration or paying off housing debt. </w:t>
      </w:r>
    </w:p>
    <w:p w14:paraId="421F3750" w14:textId="77777777" w:rsidR="00014D60" w:rsidRDefault="00014D60" w:rsidP="00014D60">
      <w:pPr>
        <w:jc w:val="both"/>
        <w:rPr>
          <w:rFonts w:cs="Arial"/>
        </w:rPr>
      </w:pPr>
    </w:p>
    <w:p w14:paraId="4299CB28" w14:textId="77777777" w:rsidR="00014D60" w:rsidRPr="00C77C49" w:rsidRDefault="00014D60" w:rsidP="00014D60">
      <w:pPr>
        <w:jc w:val="both"/>
        <w:rPr>
          <w:rFonts w:cs="Arial"/>
        </w:rPr>
      </w:pPr>
      <w:r w:rsidRPr="00C77C49">
        <w:rPr>
          <w:rFonts w:cs="Arial"/>
        </w:rPr>
        <w:t xml:space="preserve">General Fund capital receipts can be retained in full. These can arise from the sale of land and buildings, vehicles, plant and equipment, and also through the repayment of loans or grants. </w:t>
      </w:r>
    </w:p>
    <w:p w14:paraId="2113A83B" w14:textId="77777777" w:rsidR="00014D60" w:rsidRDefault="00014D60" w:rsidP="00014D60">
      <w:pPr>
        <w:jc w:val="both"/>
        <w:rPr>
          <w:rFonts w:cs="Arial"/>
        </w:rPr>
      </w:pPr>
    </w:p>
    <w:p w14:paraId="0A29AC17" w14:textId="77777777" w:rsidR="00014D60" w:rsidRPr="00C77C49" w:rsidRDefault="00014D60" w:rsidP="00014D60">
      <w:pPr>
        <w:jc w:val="both"/>
        <w:rPr>
          <w:rFonts w:cs="Arial"/>
        </w:rPr>
      </w:pPr>
      <w:r w:rsidRPr="00C77C49">
        <w:rPr>
          <w:rFonts w:cs="Arial"/>
        </w:rPr>
        <w:t xml:space="preserve">An active asset management planning process is needed to review the asset requirements of the Council and therefore to identify surplus assets which may be sold to generate capital receipts. </w:t>
      </w:r>
    </w:p>
    <w:p w14:paraId="7BBB9ADC" w14:textId="77777777" w:rsidR="00014D60" w:rsidRDefault="00014D60" w:rsidP="00014D60">
      <w:pPr>
        <w:jc w:val="both"/>
        <w:rPr>
          <w:rFonts w:cs="Arial"/>
          <w:b/>
          <w:bCs/>
        </w:rPr>
      </w:pPr>
    </w:p>
    <w:p w14:paraId="6730E613" w14:textId="77777777" w:rsidR="00014D60" w:rsidRPr="00C77C49" w:rsidRDefault="00014D60" w:rsidP="00014D60">
      <w:pPr>
        <w:jc w:val="both"/>
        <w:rPr>
          <w:rFonts w:cs="Arial"/>
        </w:rPr>
      </w:pPr>
      <w:r w:rsidRPr="00C77C49">
        <w:rPr>
          <w:rFonts w:cs="Arial"/>
          <w:b/>
          <w:bCs/>
        </w:rPr>
        <w:t xml:space="preserve">Prudential Borrowing </w:t>
      </w:r>
    </w:p>
    <w:p w14:paraId="59F7665B" w14:textId="77777777" w:rsidR="00014D60" w:rsidRDefault="00014D60" w:rsidP="00014D60">
      <w:pPr>
        <w:jc w:val="both"/>
        <w:rPr>
          <w:rFonts w:cs="Arial"/>
        </w:rPr>
      </w:pPr>
    </w:p>
    <w:p w14:paraId="031E89C7" w14:textId="77777777" w:rsidR="00014D60" w:rsidRPr="00C77C49" w:rsidRDefault="00014D60" w:rsidP="00014D60">
      <w:pPr>
        <w:jc w:val="both"/>
        <w:rPr>
          <w:rFonts w:cs="Arial"/>
        </w:rPr>
      </w:pPr>
      <w:r w:rsidRPr="00C77C49">
        <w:rPr>
          <w:rFonts w:cs="Arial"/>
        </w:rPr>
        <w:t>The Council is able to borrow money on the money market or from the Public Works Loans Board (PWLB) to fund capital schemes. A preferential Certainty Rate of interest is allocated</w:t>
      </w:r>
      <w:r>
        <w:rPr>
          <w:rFonts w:cs="Arial"/>
        </w:rPr>
        <w:t xml:space="preserve"> </w:t>
      </w:r>
      <w:r w:rsidRPr="00C77C49">
        <w:rPr>
          <w:rFonts w:cs="Arial"/>
        </w:rPr>
        <w:t xml:space="preserve">to Councils who apply for it and it is the policy of this Council to take advantage of the certainty rate each year. </w:t>
      </w:r>
    </w:p>
    <w:p w14:paraId="45984D2B" w14:textId="77777777" w:rsidR="00014D60" w:rsidRDefault="00014D60" w:rsidP="00014D60">
      <w:pPr>
        <w:jc w:val="both"/>
        <w:rPr>
          <w:rFonts w:cs="Arial"/>
        </w:rPr>
      </w:pPr>
    </w:p>
    <w:p w14:paraId="7ED53519" w14:textId="77777777" w:rsidR="00014D60" w:rsidRPr="00C77C49" w:rsidRDefault="00014D60" w:rsidP="00014D60">
      <w:pPr>
        <w:jc w:val="both"/>
        <w:rPr>
          <w:rFonts w:cs="Arial"/>
        </w:rPr>
      </w:pPr>
      <w:r w:rsidRPr="00C77C49">
        <w:rPr>
          <w:rFonts w:cs="Arial"/>
        </w:rPr>
        <w:t xml:space="preserve">For all schemes initially funded from borrowing, the Council will have to fund the repayment and interest costs as there is no longer any central government “supported borrowing” allocations and related revenue support. </w:t>
      </w:r>
    </w:p>
    <w:p w14:paraId="5463060E" w14:textId="77777777" w:rsidR="00014D60" w:rsidRDefault="00014D60" w:rsidP="00014D60">
      <w:pPr>
        <w:jc w:val="both"/>
        <w:rPr>
          <w:rFonts w:cs="Arial"/>
        </w:rPr>
      </w:pPr>
    </w:p>
    <w:p w14:paraId="75EC183B" w14:textId="77777777" w:rsidR="00014D60" w:rsidRPr="00C77C49" w:rsidRDefault="00014D60" w:rsidP="00014D60">
      <w:pPr>
        <w:jc w:val="both"/>
        <w:rPr>
          <w:rFonts w:cs="Arial"/>
        </w:rPr>
      </w:pPr>
      <w:r w:rsidRPr="00C77C49">
        <w:rPr>
          <w:rFonts w:cs="Arial"/>
        </w:rPr>
        <w:t>The Council is only able to borrow for Prudential Borrowing</w:t>
      </w:r>
      <w:r>
        <w:rPr>
          <w:rFonts w:cs="Arial"/>
        </w:rPr>
        <w:t>,</w:t>
      </w:r>
      <w:r w:rsidRPr="00C77C49">
        <w:rPr>
          <w:rFonts w:cs="Arial"/>
        </w:rPr>
        <w:t xml:space="preserve"> under the guidance contained in the CIPFA Prudential Code whereby, in summary, the Council is required to ensure that all borrowing is both prudent and affordable. All schemes funded from prudential borrowing are approved by full Council. As part of the Treasury Management Strategy each year full Council approves a limit for affordable borrowing and capital schemes will be considered in the light of that limit. </w:t>
      </w:r>
    </w:p>
    <w:p w14:paraId="7D6A84C5" w14:textId="77777777" w:rsidR="00014D60" w:rsidRDefault="00014D60" w:rsidP="00014D60">
      <w:pPr>
        <w:jc w:val="both"/>
        <w:rPr>
          <w:rFonts w:cs="Arial"/>
          <w:b/>
          <w:bCs/>
        </w:rPr>
      </w:pPr>
    </w:p>
    <w:p w14:paraId="7A7464C9" w14:textId="77777777" w:rsidR="00014D60" w:rsidRDefault="00014D60" w:rsidP="00014D60">
      <w:pPr>
        <w:jc w:val="both"/>
        <w:rPr>
          <w:rFonts w:cs="Arial"/>
          <w:b/>
          <w:bCs/>
        </w:rPr>
      </w:pPr>
      <w:r w:rsidRPr="00C77C49">
        <w:rPr>
          <w:rFonts w:cs="Arial"/>
          <w:b/>
          <w:bCs/>
        </w:rPr>
        <w:t>2</w:t>
      </w:r>
      <w:r>
        <w:rPr>
          <w:rFonts w:cs="Arial"/>
          <w:b/>
          <w:bCs/>
        </w:rPr>
        <w:t>0</w:t>
      </w:r>
      <w:r w:rsidRPr="00C77C49">
        <w:rPr>
          <w:rFonts w:cs="Arial"/>
          <w:b/>
          <w:bCs/>
        </w:rPr>
        <w:t>.</w:t>
      </w:r>
      <w:r>
        <w:rPr>
          <w:rFonts w:cs="Arial"/>
          <w:b/>
          <w:bCs/>
        </w:rPr>
        <w:tab/>
      </w:r>
      <w:r w:rsidRPr="00C77C49">
        <w:rPr>
          <w:rFonts w:cs="Arial"/>
          <w:b/>
          <w:bCs/>
        </w:rPr>
        <w:t xml:space="preserve"> External Funding </w:t>
      </w:r>
    </w:p>
    <w:p w14:paraId="5E4B7086" w14:textId="77777777" w:rsidR="00014D60" w:rsidRPr="00C77C49" w:rsidRDefault="00014D60" w:rsidP="00014D60">
      <w:pPr>
        <w:jc w:val="both"/>
        <w:rPr>
          <w:rFonts w:cs="Arial"/>
        </w:rPr>
      </w:pPr>
    </w:p>
    <w:p w14:paraId="0F28A81D" w14:textId="77777777" w:rsidR="00014D60" w:rsidRPr="00C77C49" w:rsidRDefault="00014D60" w:rsidP="00014D60">
      <w:pPr>
        <w:jc w:val="both"/>
        <w:rPr>
          <w:rFonts w:cs="Arial"/>
        </w:rPr>
      </w:pPr>
      <w:r w:rsidRPr="00C77C49">
        <w:rPr>
          <w:rFonts w:cs="Arial"/>
          <w:b/>
          <w:bCs/>
        </w:rPr>
        <w:t xml:space="preserve">Capital Grant from Government or Government Agency </w:t>
      </w:r>
    </w:p>
    <w:p w14:paraId="25C61570" w14:textId="77777777" w:rsidR="00014D60" w:rsidRDefault="00014D60" w:rsidP="00014D60">
      <w:pPr>
        <w:jc w:val="both"/>
        <w:rPr>
          <w:rFonts w:cs="Arial"/>
        </w:rPr>
      </w:pPr>
    </w:p>
    <w:p w14:paraId="3B31264E" w14:textId="77777777" w:rsidR="00014D60" w:rsidRPr="00C77C49" w:rsidRDefault="00014D60" w:rsidP="00014D60">
      <w:pPr>
        <w:jc w:val="both"/>
        <w:rPr>
          <w:rFonts w:cs="Arial"/>
        </w:rPr>
      </w:pPr>
      <w:r w:rsidRPr="00C77C49">
        <w:rPr>
          <w:rFonts w:cs="Arial"/>
        </w:rPr>
        <w:t xml:space="preserve">Central government and government agencies provide capital grant funding that can be either ring fenced or non-ring fenced. Examples of ring fenced </w:t>
      </w:r>
      <w:r w:rsidRPr="00C77C49">
        <w:rPr>
          <w:rFonts w:cs="Arial"/>
        </w:rPr>
        <w:lastRenderedPageBreak/>
        <w:t xml:space="preserve">grants that the Council has received are disabled facilities grants (DFG’s) and Heritage Lottery Fund (HLF) funding. </w:t>
      </w:r>
    </w:p>
    <w:p w14:paraId="67975626" w14:textId="77777777" w:rsidR="00014D60" w:rsidRDefault="00014D60" w:rsidP="00014D60">
      <w:pPr>
        <w:jc w:val="both"/>
        <w:rPr>
          <w:rFonts w:cs="Arial"/>
          <w:b/>
          <w:bCs/>
        </w:rPr>
      </w:pPr>
    </w:p>
    <w:p w14:paraId="33D0EB83" w14:textId="77777777" w:rsidR="00014D60" w:rsidRPr="00C77C49" w:rsidRDefault="00014D60" w:rsidP="00014D60">
      <w:pPr>
        <w:jc w:val="both"/>
        <w:rPr>
          <w:rFonts w:cs="Arial"/>
        </w:rPr>
      </w:pPr>
      <w:r w:rsidRPr="00C77C49">
        <w:rPr>
          <w:rFonts w:cs="Arial"/>
          <w:b/>
          <w:bCs/>
        </w:rPr>
        <w:t xml:space="preserve">Community Infrastructure Levy (CIL) </w:t>
      </w:r>
    </w:p>
    <w:p w14:paraId="70E7D628" w14:textId="77777777" w:rsidR="00014D60" w:rsidRDefault="00014D60" w:rsidP="00014D60">
      <w:pPr>
        <w:jc w:val="both"/>
        <w:rPr>
          <w:rFonts w:cs="Arial"/>
        </w:rPr>
      </w:pPr>
    </w:p>
    <w:p w14:paraId="090FA702" w14:textId="77777777" w:rsidR="00014D60" w:rsidRPr="00C77C49" w:rsidRDefault="00014D60" w:rsidP="00014D60">
      <w:pPr>
        <w:jc w:val="both"/>
        <w:rPr>
          <w:rFonts w:cs="Arial"/>
        </w:rPr>
      </w:pPr>
      <w:r w:rsidRPr="00C77C49">
        <w:rPr>
          <w:rFonts w:cs="Arial"/>
        </w:rPr>
        <w:t xml:space="preserve">Any monies received from developers for infrastructure from the Community Infrastructure Levy will not be allocated to a specific service but will be allocated under the CIL arrangements (“the Regulation 123 List”) in line with Council’s capital scheme priorities. </w:t>
      </w:r>
    </w:p>
    <w:p w14:paraId="3886AF8D" w14:textId="77777777" w:rsidR="00014D60" w:rsidRDefault="00014D60" w:rsidP="00014D60">
      <w:pPr>
        <w:jc w:val="both"/>
        <w:rPr>
          <w:rFonts w:cs="Arial"/>
        </w:rPr>
      </w:pPr>
    </w:p>
    <w:p w14:paraId="22097410" w14:textId="77777777" w:rsidR="00014D60" w:rsidRPr="00C77C49" w:rsidRDefault="00014D60" w:rsidP="00014D60">
      <w:pPr>
        <w:jc w:val="both"/>
        <w:rPr>
          <w:rFonts w:cs="Arial"/>
        </w:rPr>
      </w:pPr>
      <w:r w:rsidRPr="00C77C49">
        <w:rPr>
          <w:rFonts w:cs="Arial"/>
        </w:rPr>
        <w:t>The process for allocating CIL funds will be in accordance with the process agreed by Cabinet</w:t>
      </w:r>
    </w:p>
    <w:p w14:paraId="5FB65A5C" w14:textId="77777777" w:rsidR="00014D60" w:rsidRDefault="00014D60" w:rsidP="00014D60">
      <w:pPr>
        <w:tabs>
          <w:tab w:val="num" w:pos="1985"/>
        </w:tabs>
        <w:jc w:val="both"/>
        <w:rPr>
          <w:rFonts w:cs="Arial"/>
          <w:b/>
        </w:rPr>
      </w:pPr>
    </w:p>
    <w:p w14:paraId="71B55F60" w14:textId="77777777" w:rsidR="00014D60" w:rsidRDefault="00014D60" w:rsidP="00014D60">
      <w:pPr>
        <w:tabs>
          <w:tab w:val="num" w:pos="1985"/>
        </w:tabs>
        <w:jc w:val="both"/>
        <w:rPr>
          <w:rFonts w:cs="Arial"/>
          <w:b/>
        </w:rPr>
      </w:pPr>
      <w:r w:rsidRPr="00C77C49">
        <w:rPr>
          <w:rFonts w:cs="Arial"/>
          <w:b/>
        </w:rPr>
        <w:t xml:space="preserve">Community Infrastructure Levy (CIL) Funding </w:t>
      </w:r>
    </w:p>
    <w:p w14:paraId="5618CB8D" w14:textId="77777777" w:rsidR="00014D60" w:rsidRPr="00C77C49" w:rsidRDefault="00014D60" w:rsidP="00014D60">
      <w:pPr>
        <w:tabs>
          <w:tab w:val="num" w:pos="1985"/>
        </w:tabs>
        <w:jc w:val="both"/>
        <w:rPr>
          <w:rFonts w:cs="Arial"/>
          <w:b/>
        </w:rPr>
      </w:pPr>
    </w:p>
    <w:p w14:paraId="1045CCCC" w14:textId="77777777" w:rsidR="00014D60" w:rsidRDefault="00014D60" w:rsidP="00014D60">
      <w:pPr>
        <w:contextualSpacing/>
        <w:jc w:val="both"/>
        <w:rPr>
          <w:rFonts w:cs="Arial"/>
        </w:rPr>
      </w:pPr>
      <w:r w:rsidRPr="00C77C49">
        <w:rPr>
          <w:rFonts w:cs="Arial"/>
        </w:rPr>
        <w:t>The Community Infrastructure Levy (CIL) enables the council to raise funds for infrastructure from new development. It is levied on the net increase in floor space arising from new developments and is paid when that development starts. The Community Infrastructure Levy (CIL) is a tool for local authorities to support the development of their area by funding the provision, improvement, replacement, operation or maintenance of infrastructure. However the focus of CIL is on the delivery of new infrastructure to meet and mitigate the impacts of new development in an area.</w:t>
      </w:r>
    </w:p>
    <w:p w14:paraId="60CE6927" w14:textId="77777777" w:rsidR="00014D60" w:rsidRDefault="00014D60" w:rsidP="00014D60">
      <w:pPr>
        <w:contextualSpacing/>
        <w:jc w:val="both"/>
        <w:rPr>
          <w:rFonts w:cs="Arial"/>
        </w:rPr>
      </w:pPr>
    </w:p>
    <w:p w14:paraId="69A4DC1A" w14:textId="77777777" w:rsidR="00014D60" w:rsidRDefault="00014D60" w:rsidP="00014D60">
      <w:pPr>
        <w:contextualSpacing/>
        <w:jc w:val="both"/>
        <w:rPr>
          <w:rFonts w:cs="Arial"/>
        </w:rPr>
      </w:pPr>
      <w:r w:rsidRPr="00C77C49">
        <w:rPr>
          <w:rFonts w:cs="Arial"/>
        </w:rPr>
        <w:t xml:space="preserve">CIL receipts can be used to fund a wide range of infrastructure including transport, schools, health and social care facilities, libraries, play areas, green spaces and sports facilities. Harrow’s list of strategic infrastructure requirements known as a Regulation 123 list is shown below:   </w:t>
      </w:r>
    </w:p>
    <w:p w14:paraId="749CB09A" w14:textId="77777777" w:rsidR="00014D60" w:rsidRDefault="00014D60" w:rsidP="00014D60">
      <w:pPr>
        <w:ind w:left="851"/>
        <w:jc w:val="both"/>
        <w:rPr>
          <w:rFonts w:cs="Arial"/>
        </w:rPr>
      </w:pPr>
    </w:p>
    <w:p w14:paraId="3A2FF803" w14:textId="78D73B73" w:rsidR="00014D60" w:rsidRPr="00C77C49" w:rsidRDefault="00014D60" w:rsidP="00014D60">
      <w:pPr>
        <w:ind w:left="851"/>
        <w:jc w:val="both"/>
        <w:rPr>
          <w:rFonts w:cs="Arial"/>
        </w:rPr>
      </w:pPr>
      <w:r w:rsidRPr="009E6B50">
        <w:rPr>
          <w:rFonts w:cs="Arial"/>
          <w:noProof/>
          <w:bdr w:val="dotted" w:sz="4" w:space="0" w:color="auto"/>
          <w:lang w:eastAsia="en-GB"/>
        </w:rPr>
        <w:drawing>
          <wp:inline distT="0" distB="0" distL="0" distR="0" wp14:anchorId="34DCB258" wp14:editId="65F811FE">
            <wp:extent cx="4972050" cy="3438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72050" cy="3438525"/>
                    </a:xfrm>
                    <a:prstGeom prst="rect">
                      <a:avLst/>
                    </a:prstGeom>
                    <a:noFill/>
                    <a:ln>
                      <a:noFill/>
                    </a:ln>
                  </pic:spPr>
                </pic:pic>
              </a:graphicData>
            </a:graphic>
          </wp:inline>
        </w:drawing>
      </w:r>
    </w:p>
    <w:p w14:paraId="5D4A4C80" w14:textId="77777777" w:rsidR="00014D60" w:rsidRPr="00C77C49" w:rsidRDefault="00014D60" w:rsidP="00014D60">
      <w:pPr>
        <w:ind w:left="360"/>
        <w:contextualSpacing/>
        <w:jc w:val="both"/>
        <w:rPr>
          <w:rFonts w:cs="Arial"/>
        </w:rPr>
      </w:pPr>
    </w:p>
    <w:p w14:paraId="0665BA4C" w14:textId="77777777" w:rsidR="00014D60" w:rsidRPr="00C77C49" w:rsidRDefault="00014D60" w:rsidP="00014D60">
      <w:pPr>
        <w:contextualSpacing/>
        <w:jc w:val="both"/>
        <w:rPr>
          <w:rFonts w:cs="Arial"/>
          <w:lang w:val="en"/>
        </w:rPr>
      </w:pPr>
      <w:r w:rsidRPr="00C77C49">
        <w:rPr>
          <w:rFonts w:cs="Arial"/>
          <w:lang w:val="en"/>
        </w:rPr>
        <w:t xml:space="preserve">Of all CIL monies collected, 85% is used to fund strategic borough wide infrastructure projects, which includes a 5% allowance to cover the </w:t>
      </w:r>
      <w:r w:rsidRPr="00C77C49">
        <w:rPr>
          <w:rFonts w:cs="Arial"/>
          <w:lang w:val="en"/>
        </w:rPr>
        <w:lastRenderedPageBreak/>
        <w:t xml:space="preserve">administrative costs of CIL. The decisions on where to spend CIL </w:t>
      </w:r>
      <w:r w:rsidRPr="00C77C49">
        <w:rPr>
          <w:rFonts w:cs="Arial"/>
        </w:rPr>
        <w:t xml:space="preserve">at a borough-wide level is determined by the Council. The remaining 15% is allocated to Neighbourhood CIL (NCIL) and must be spent on projects that have taken account of the views of the communities in which the income was generated and these projects should support the development of the area. </w:t>
      </w:r>
    </w:p>
    <w:p w14:paraId="07A8A963" w14:textId="77777777" w:rsidR="00014D60" w:rsidRDefault="00014D60" w:rsidP="00014D60">
      <w:pPr>
        <w:contextualSpacing/>
        <w:jc w:val="both"/>
        <w:rPr>
          <w:rFonts w:cs="Arial"/>
        </w:rPr>
      </w:pPr>
    </w:p>
    <w:p w14:paraId="6C770225" w14:textId="77777777" w:rsidR="00014D60" w:rsidRPr="00C77C49" w:rsidRDefault="00014D60" w:rsidP="00014D60">
      <w:pPr>
        <w:contextualSpacing/>
        <w:jc w:val="both"/>
        <w:rPr>
          <w:rFonts w:cs="Arial"/>
        </w:rPr>
      </w:pPr>
      <w:bookmarkStart w:id="22" w:name="_Hlk63164348"/>
      <w:r>
        <w:rPr>
          <w:rFonts w:cs="Arial"/>
        </w:rPr>
        <w:t>A</w:t>
      </w:r>
      <w:r w:rsidRPr="00C77C49">
        <w:rPr>
          <w:rFonts w:cs="Arial"/>
        </w:rPr>
        <w:t xml:space="preserve"> report was presented to the Major Development Panel (MDP) on 14</w:t>
      </w:r>
      <w:r w:rsidRPr="00C77C49">
        <w:rPr>
          <w:rFonts w:cs="Arial"/>
          <w:vertAlign w:val="superscript"/>
        </w:rPr>
        <w:t>th</w:t>
      </w:r>
      <w:r w:rsidRPr="00C77C49">
        <w:rPr>
          <w:rFonts w:cs="Arial"/>
        </w:rPr>
        <w:t xml:space="preserve"> November 2017</w:t>
      </w:r>
      <w:bookmarkEnd w:id="22"/>
      <w:r w:rsidRPr="00C77C49">
        <w:rPr>
          <w:rFonts w:cs="Arial"/>
        </w:rPr>
        <w:t>, recommending that the allocation of Borough and Neighbourhood CIL is included as part of the Annual Budget Setting process and included in the Capital Programme report which goes to Cabinet in draft in December and in February in its final version.  The recommendations from the Major Development Panel (MDP) report were agreed by Cabinet on 7</w:t>
      </w:r>
      <w:r w:rsidRPr="00C77C49">
        <w:rPr>
          <w:rFonts w:cs="Arial"/>
          <w:vertAlign w:val="superscript"/>
        </w:rPr>
        <w:t>th</w:t>
      </w:r>
      <w:r w:rsidRPr="00C77C49">
        <w:rPr>
          <w:rFonts w:cs="Arial"/>
        </w:rPr>
        <w:t xml:space="preserve"> December 2017 </w:t>
      </w:r>
      <w:r>
        <w:rPr>
          <w:rFonts w:cs="Arial"/>
        </w:rPr>
        <w:t>which agreed</w:t>
      </w:r>
      <w:r w:rsidRPr="00C77C49">
        <w:rPr>
          <w:rFonts w:cs="Arial"/>
        </w:rPr>
        <w:t xml:space="preserve">: </w:t>
      </w:r>
    </w:p>
    <w:p w14:paraId="2C9A34B6" w14:textId="77777777" w:rsidR="00014D60" w:rsidRPr="00C77C49" w:rsidRDefault="00014D60" w:rsidP="00014D60">
      <w:pPr>
        <w:jc w:val="both"/>
        <w:rPr>
          <w:rFonts w:cs="Arial"/>
          <w:i/>
          <w:iCs/>
        </w:rPr>
      </w:pPr>
    </w:p>
    <w:p w14:paraId="32E4F9EB" w14:textId="77777777" w:rsidR="00014D60" w:rsidRDefault="00014D60" w:rsidP="00014D60">
      <w:pPr>
        <w:numPr>
          <w:ilvl w:val="0"/>
          <w:numId w:val="41"/>
        </w:numPr>
        <w:spacing w:line="276" w:lineRule="auto"/>
        <w:jc w:val="both"/>
        <w:rPr>
          <w:rFonts w:cs="Arial"/>
          <w:i/>
          <w:iCs/>
        </w:rPr>
      </w:pPr>
      <w:r w:rsidRPr="00C77C49">
        <w:rPr>
          <w:rFonts w:cs="Arial"/>
          <w:i/>
          <w:iCs/>
        </w:rPr>
        <w:t> the allocation of the Borough Community Infrastructure Levy (CIL) be included as part of the Annual Budget Setting process and included in the Capital Programme report which is presented to Cabinet every year in December (draft budget) and February (final budget);</w:t>
      </w:r>
    </w:p>
    <w:p w14:paraId="15547102" w14:textId="77777777" w:rsidR="00014D60" w:rsidRPr="00FA5096" w:rsidRDefault="00014D60" w:rsidP="00014D60">
      <w:pPr>
        <w:ind w:left="720"/>
        <w:jc w:val="both"/>
        <w:rPr>
          <w:rFonts w:cs="Arial"/>
          <w:i/>
          <w:iCs/>
        </w:rPr>
      </w:pPr>
    </w:p>
    <w:p w14:paraId="63801BE3" w14:textId="77777777" w:rsidR="00014D60" w:rsidRDefault="00014D60" w:rsidP="00014D60">
      <w:pPr>
        <w:numPr>
          <w:ilvl w:val="0"/>
          <w:numId w:val="41"/>
        </w:numPr>
        <w:spacing w:line="276" w:lineRule="auto"/>
        <w:jc w:val="both"/>
        <w:rPr>
          <w:rFonts w:cs="Arial"/>
          <w:i/>
          <w:iCs/>
        </w:rPr>
      </w:pPr>
      <w:r w:rsidRPr="00C77C49">
        <w:rPr>
          <w:rFonts w:cs="Arial"/>
        </w:rPr>
        <w:t>Specific projects to be funded by Neighbourhood CIL can be put forward by the relevant Directorates / Ward members and assessed against the criteria outlined in the CIL Allocations report agreed by the Major Development Panel in November 2017. The final decision on what projects are funded from the agreed NCIL allocations will be delegated to the Divisional Director – Regeneration and Planning, in consultation with the Portfolio Holders for Regeneration and Planning, and Finance and Commercialisation</w:t>
      </w:r>
    </w:p>
    <w:p w14:paraId="44BABC37" w14:textId="77777777" w:rsidR="00014D60" w:rsidRDefault="00014D60" w:rsidP="00014D60">
      <w:pPr>
        <w:jc w:val="both"/>
        <w:rPr>
          <w:rFonts w:cs="Arial"/>
          <w:i/>
          <w:iCs/>
        </w:rPr>
      </w:pPr>
    </w:p>
    <w:p w14:paraId="4AD36146" w14:textId="77777777" w:rsidR="00014D60" w:rsidRPr="00C77C49" w:rsidRDefault="00014D60" w:rsidP="00014D60">
      <w:pPr>
        <w:tabs>
          <w:tab w:val="num" w:pos="1985"/>
        </w:tabs>
        <w:ind w:left="142"/>
        <w:jc w:val="both"/>
        <w:rPr>
          <w:rFonts w:cs="Arial"/>
        </w:rPr>
      </w:pPr>
      <w:r w:rsidRPr="00C77C49">
        <w:rPr>
          <w:rFonts w:cs="Arial"/>
        </w:rPr>
        <w:t>.</w:t>
      </w:r>
      <w:r>
        <w:rPr>
          <w:rFonts w:cs="Arial"/>
        </w:rPr>
        <w:t xml:space="preserve"> The recommendation for NCIL was as follows:</w:t>
      </w:r>
    </w:p>
    <w:p w14:paraId="2A47855C" w14:textId="77777777" w:rsidR="00014D60" w:rsidRPr="00C77C49" w:rsidRDefault="00014D60" w:rsidP="00014D60">
      <w:pPr>
        <w:ind w:left="1701" w:hanging="567"/>
        <w:jc w:val="both"/>
        <w:rPr>
          <w:rFonts w:cs="Arial"/>
          <w:i/>
          <w:iCs/>
        </w:rPr>
      </w:pPr>
    </w:p>
    <w:p w14:paraId="14D3E67A" w14:textId="77777777" w:rsidR="00014D60" w:rsidRPr="00C77C49" w:rsidRDefault="00014D60" w:rsidP="00014D60">
      <w:pPr>
        <w:numPr>
          <w:ilvl w:val="0"/>
          <w:numId w:val="42"/>
        </w:numPr>
        <w:spacing w:line="276" w:lineRule="auto"/>
        <w:jc w:val="both"/>
        <w:rPr>
          <w:rFonts w:cs="Arial"/>
          <w:i/>
          <w:iCs/>
        </w:rPr>
      </w:pPr>
      <w:r w:rsidRPr="00C77C49">
        <w:rPr>
          <w:rFonts w:cs="Arial"/>
          <w:i/>
          <w:iCs/>
        </w:rPr>
        <w:t> the broad allocation of Neighbourhood CIL be agreed as part of the Capital Programme (based on available funds at the time and allocated as per 3(i) and 3(ii) above), and included in the  Capital Programme report which is presented to Cabinet every year in December (draft budget) and February (final budget).</w:t>
      </w:r>
    </w:p>
    <w:p w14:paraId="203D97CF" w14:textId="77777777" w:rsidR="00014D60" w:rsidRPr="00C77C49" w:rsidRDefault="00014D60" w:rsidP="00014D60">
      <w:pPr>
        <w:ind w:left="1701" w:hanging="567"/>
        <w:jc w:val="both"/>
        <w:rPr>
          <w:rFonts w:cs="Arial"/>
          <w:i/>
          <w:iCs/>
        </w:rPr>
      </w:pPr>
    </w:p>
    <w:p w14:paraId="75F5B098" w14:textId="77777777" w:rsidR="00014D60" w:rsidRPr="00C77C49" w:rsidRDefault="00014D60" w:rsidP="00014D60">
      <w:pPr>
        <w:numPr>
          <w:ilvl w:val="0"/>
          <w:numId w:val="42"/>
        </w:numPr>
        <w:spacing w:line="276" w:lineRule="auto"/>
        <w:jc w:val="both"/>
        <w:rPr>
          <w:rFonts w:cs="Arial"/>
          <w:i/>
          <w:iCs/>
        </w:rPr>
      </w:pPr>
      <w:r w:rsidRPr="00C77C49">
        <w:rPr>
          <w:rFonts w:cs="Arial"/>
          <w:i/>
          <w:iCs/>
        </w:rPr>
        <w:t> Once the broad allocation of NCIL is agreed as part of the Capital Programme, individual projects put forward by the relevant Directorates / Ward Members be assessed against the criteria outlined in section 7 of the MDP report (including the extent of consultation and level of community support), with the final decision on what projects were funded from the agreed CIL allocations being delegated to the Divisional Director of Regeneration and Planning, following consultation with the Portfolio Holders for Regeneration and Planning, and Finance and Commercialisation.</w:t>
      </w:r>
    </w:p>
    <w:p w14:paraId="6D84B399" w14:textId="77777777" w:rsidR="00014D60" w:rsidRPr="00C77C49" w:rsidRDefault="00014D60" w:rsidP="00014D60">
      <w:pPr>
        <w:ind w:left="360"/>
        <w:contextualSpacing/>
        <w:jc w:val="both"/>
        <w:rPr>
          <w:rFonts w:cs="Arial"/>
        </w:rPr>
      </w:pPr>
      <w:r w:rsidRPr="00C77C49">
        <w:rPr>
          <w:rFonts w:cs="Arial"/>
        </w:rPr>
        <w:t xml:space="preserve"> </w:t>
      </w:r>
    </w:p>
    <w:p w14:paraId="16EAE281" w14:textId="77777777" w:rsidR="00014D60" w:rsidRPr="00C77C49" w:rsidRDefault="00014D60" w:rsidP="00014D60">
      <w:pPr>
        <w:tabs>
          <w:tab w:val="num" w:pos="567"/>
          <w:tab w:val="num" w:pos="1985"/>
        </w:tabs>
        <w:jc w:val="both"/>
        <w:rPr>
          <w:rFonts w:cs="Arial"/>
        </w:rPr>
      </w:pPr>
      <w:r w:rsidRPr="00C77C49">
        <w:rPr>
          <w:rFonts w:cs="Arial"/>
        </w:rPr>
        <w:lastRenderedPageBreak/>
        <w:t>The Borough CIL element will be used to fund the core Capital programme and can be considered as a funding source for new capital bids as well as existing projects in the Capital programme.</w:t>
      </w:r>
    </w:p>
    <w:p w14:paraId="4C003452" w14:textId="77777777" w:rsidR="00014D60" w:rsidRPr="00C77C49" w:rsidRDefault="00014D60" w:rsidP="00014D60">
      <w:pPr>
        <w:tabs>
          <w:tab w:val="num" w:pos="1985"/>
        </w:tabs>
        <w:ind w:left="567"/>
        <w:jc w:val="both"/>
        <w:rPr>
          <w:rFonts w:cs="Arial"/>
        </w:rPr>
      </w:pPr>
    </w:p>
    <w:p w14:paraId="3EE4163D" w14:textId="77777777" w:rsidR="00014D60" w:rsidRPr="00C77C49" w:rsidRDefault="00014D60" w:rsidP="00014D60">
      <w:pPr>
        <w:tabs>
          <w:tab w:val="num" w:pos="567"/>
          <w:tab w:val="num" w:pos="1985"/>
        </w:tabs>
        <w:jc w:val="both"/>
        <w:rPr>
          <w:rFonts w:cs="Arial"/>
        </w:rPr>
      </w:pPr>
      <w:r w:rsidRPr="00C77C49">
        <w:rPr>
          <w:rFonts w:cs="Arial"/>
        </w:rPr>
        <w:t xml:space="preserve">In addition to the principles already reached on how CIL funding should be used to fund the capital programme, in light of the budget gaps in future years, it </w:t>
      </w:r>
      <w:r>
        <w:rPr>
          <w:rFonts w:cs="Arial"/>
        </w:rPr>
        <w:t>was</w:t>
      </w:r>
      <w:r w:rsidRPr="00C77C49">
        <w:rPr>
          <w:rFonts w:cs="Arial"/>
        </w:rPr>
        <w:t xml:space="preserve"> recommended </w:t>
      </w:r>
      <w:r>
        <w:rPr>
          <w:rFonts w:cs="Arial"/>
        </w:rPr>
        <w:t xml:space="preserve">by Cabinet in December 2018, </w:t>
      </w:r>
      <w:r w:rsidRPr="00C77C49">
        <w:rPr>
          <w:rFonts w:cs="Arial"/>
        </w:rPr>
        <w:t xml:space="preserve">that CIL should be </w:t>
      </w:r>
      <w:r w:rsidRPr="00C77C49">
        <w:rPr>
          <w:rFonts w:cs="Arial"/>
          <w:b/>
        </w:rPr>
        <w:t>first</w:t>
      </w:r>
      <w:r w:rsidRPr="00C77C49">
        <w:rPr>
          <w:rFonts w:cs="Arial"/>
        </w:rPr>
        <w:t xml:space="preserve"> be applied to any schemes in the existing capital programme rather than applying it to new schemes.  The rationale for this is that if applied to schemes that are currently funded from borrowing, by funding from CIL instead, this will reduce the existing capital financing costs</w:t>
      </w:r>
      <w:r>
        <w:rPr>
          <w:rFonts w:cs="Arial"/>
        </w:rPr>
        <w:t>.</w:t>
      </w:r>
      <w:r w:rsidRPr="00C77C49">
        <w:rPr>
          <w:rFonts w:cs="Arial"/>
        </w:rPr>
        <w:t xml:space="preserve"> </w:t>
      </w:r>
    </w:p>
    <w:p w14:paraId="4F3603F1" w14:textId="77777777" w:rsidR="00014D60" w:rsidRDefault="00014D60" w:rsidP="00014D60">
      <w:pPr>
        <w:jc w:val="both"/>
        <w:rPr>
          <w:rFonts w:cs="Arial"/>
          <w:b/>
          <w:bCs/>
        </w:rPr>
      </w:pPr>
    </w:p>
    <w:p w14:paraId="66420FF6" w14:textId="77777777" w:rsidR="00014D60" w:rsidRPr="00C77C49" w:rsidRDefault="00014D60" w:rsidP="00014D60">
      <w:pPr>
        <w:jc w:val="both"/>
        <w:rPr>
          <w:rFonts w:cs="Arial"/>
        </w:rPr>
      </w:pPr>
      <w:r w:rsidRPr="00C77C49">
        <w:rPr>
          <w:rFonts w:cs="Arial"/>
          <w:b/>
          <w:bCs/>
        </w:rPr>
        <w:t xml:space="preserve">Section 106 Agreements </w:t>
      </w:r>
    </w:p>
    <w:p w14:paraId="0F6B414A" w14:textId="77777777" w:rsidR="00014D60" w:rsidRDefault="00014D60" w:rsidP="00014D60">
      <w:pPr>
        <w:jc w:val="both"/>
        <w:rPr>
          <w:rFonts w:cs="Arial"/>
        </w:rPr>
      </w:pPr>
    </w:p>
    <w:p w14:paraId="20B45D18" w14:textId="77777777" w:rsidR="00014D60" w:rsidRPr="00C77C49" w:rsidRDefault="00014D60" w:rsidP="00014D60">
      <w:pPr>
        <w:jc w:val="both"/>
        <w:rPr>
          <w:rFonts w:cs="Arial"/>
        </w:rPr>
      </w:pPr>
      <w:r w:rsidRPr="00C77C49">
        <w:rPr>
          <w:rFonts w:cs="Arial"/>
        </w:rPr>
        <w:t xml:space="preserve">Developer consents may attract Section 106 funding to spend on a particular asset or site as an alternative to CIL. </w:t>
      </w:r>
    </w:p>
    <w:p w14:paraId="426437D0" w14:textId="77777777" w:rsidR="00014D60" w:rsidRDefault="00014D60" w:rsidP="00014D60">
      <w:pPr>
        <w:jc w:val="both"/>
        <w:rPr>
          <w:rFonts w:cs="Arial"/>
          <w:b/>
          <w:bCs/>
        </w:rPr>
      </w:pPr>
    </w:p>
    <w:p w14:paraId="19BDF517" w14:textId="77777777" w:rsidR="00014D60" w:rsidRPr="00C77C49" w:rsidRDefault="00014D60" w:rsidP="00014D60">
      <w:pPr>
        <w:jc w:val="both"/>
        <w:rPr>
          <w:rFonts w:cs="Arial"/>
        </w:rPr>
      </w:pPr>
      <w:r w:rsidRPr="00C77C49">
        <w:rPr>
          <w:rFonts w:cs="Arial"/>
          <w:b/>
          <w:bCs/>
        </w:rPr>
        <w:t xml:space="preserve">Capital contributions from partner organisation </w:t>
      </w:r>
    </w:p>
    <w:p w14:paraId="2770349F" w14:textId="77777777" w:rsidR="00014D60" w:rsidRDefault="00014D60" w:rsidP="00014D60">
      <w:pPr>
        <w:jc w:val="both"/>
        <w:rPr>
          <w:rFonts w:cs="Arial"/>
        </w:rPr>
      </w:pPr>
    </w:p>
    <w:p w14:paraId="169F7342" w14:textId="77777777" w:rsidR="00014D60" w:rsidRPr="00C77C49" w:rsidRDefault="00014D60" w:rsidP="00014D60">
      <w:pPr>
        <w:jc w:val="both"/>
        <w:rPr>
          <w:rFonts w:cs="Arial"/>
        </w:rPr>
      </w:pPr>
      <w:r w:rsidRPr="00C77C49">
        <w:rPr>
          <w:rFonts w:cs="Arial"/>
        </w:rPr>
        <w:t xml:space="preserve">When capital projects are devised it is open for project managers to invite funding from a range of partner organisations. </w:t>
      </w:r>
    </w:p>
    <w:p w14:paraId="7E1566FE" w14:textId="77777777" w:rsidR="00014D60" w:rsidRDefault="00014D60" w:rsidP="00014D60">
      <w:pPr>
        <w:jc w:val="both"/>
        <w:rPr>
          <w:rFonts w:cs="Arial"/>
          <w:b/>
          <w:bCs/>
        </w:rPr>
      </w:pPr>
    </w:p>
    <w:p w14:paraId="161D0B12" w14:textId="77777777" w:rsidR="00014D60" w:rsidRPr="00C77C49" w:rsidRDefault="00014D60" w:rsidP="00014D60">
      <w:pPr>
        <w:jc w:val="both"/>
        <w:rPr>
          <w:rFonts w:cs="Arial"/>
        </w:rPr>
      </w:pPr>
      <w:r w:rsidRPr="00C77C49">
        <w:rPr>
          <w:rFonts w:cs="Arial"/>
          <w:b/>
          <w:bCs/>
        </w:rPr>
        <w:t xml:space="preserve">Revenue contributions </w:t>
      </w:r>
      <w:r w:rsidRPr="00C77C49">
        <w:rPr>
          <w:rFonts w:cs="Arial"/>
        </w:rPr>
        <w:t xml:space="preserve">Services who are leading a capital project may make savings within their revenue budgets during a particular year and in some circumstances use that saving to part-fund a capital project. </w:t>
      </w:r>
    </w:p>
    <w:p w14:paraId="733E817C" w14:textId="77777777" w:rsidR="00014D60" w:rsidRDefault="00014D60" w:rsidP="00014D60">
      <w:pPr>
        <w:jc w:val="both"/>
        <w:rPr>
          <w:rFonts w:cs="Arial"/>
          <w:b/>
          <w:bCs/>
        </w:rPr>
      </w:pPr>
    </w:p>
    <w:p w14:paraId="3FFA6AFB" w14:textId="77777777" w:rsidR="00014D60" w:rsidRPr="00C77C49" w:rsidRDefault="00014D60" w:rsidP="00014D60">
      <w:pPr>
        <w:jc w:val="both"/>
        <w:rPr>
          <w:rFonts w:cs="Arial"/>
        </w:rPr>
      </w:pPr>
      <w:r w:rsidRPr="00C77C49">
        <w:rPr>
          <w:rFonts w:cs="Arial"/>
          <w:b/>
          <w:bCs/>
        </w:rPr>
        <w:t>2</w:t>
      </w:r>
      <w:r>
        <w:rPr>
          <w:rFonts w:cs="Arial"/>
          <w:b/>
          <w:bCs/>
        </w:rPr>
        <w:t>1</w:t>
      </w:r>
      <w:r w:rsidRPr="00C77C49">
        <w:rPr>
          <w:rFonts w:cs="Arial"/>
          <w:b/>
          <w:bCs/>
        </w:rPr>
        <w:t>.</w:t>
      </w:r>
      <w:r>
        <w:rPr>
          <w:rFonts w:cs="Arial"/>
          <w:b/>
          <w:bCs/>
        </w:rPr>
        <w:tab/>
      </w:r>
      <w:r w:rsidRPr="00C77C49">
        <w:rPr>
          <w:rFonts w:cs="Arial"/>
          <w:b/>
          <w:bCs/>
        </w:rPr>
        <w:t xml:space="preserve"> Policy on use of Capital Funding </w:t>
      </w:r>
    </w:p>
    <w:p w14:paraId="04E6FF9F" w14:textId="77777777" w:rsidR="00014D60" w:rsidRDefault="00014D60" w:rsidP="00014D60">
      <w:pPr>
        <w:jc w:val="both"/>
        <w:rPr>
          <w:rFonts w:cs="Arial"/>
        </w:rPr>
      </w:pPr>
    </w:p>
    <w:p w14:paraId="2CE92179" w14:textId="77777777" w:rsidR="00014D60" w:rsidRPr="00C77C49" w:rsidRDefault="00014D60" w:rsidP="00014D60">
      <w:pPr>
        <w:jc w:val="both"/>
        <w:rPr>
          <w:rFonts w:cs="Arial"/>
        </w:rPr>
      </w:pPr>
      <w:r w:rsidRPr="00C77C49">
        <w:rPr>
          <w:rFonts w:cs="Arial"/>
        </w:rPr>
        <w:t xml:space="preserve">The Council will look to use external funding sources where possible to meet the funding requirements of its capital programme. </w:t>
      </w:r>
    </w:p>
    <w:p w14:paraId="06B5E6F8" w14:textId="77777777" w:rsidR="00014D60" w:rsidRDefault="00014D60" w:rsidP="00014D60">
      <w:pPr>
        <w:jc w:val="both"/>
        <w:rPr>
          <w:rFonts w:cs="Arial"/>
        </w:rPr>
      </w:pPr>
    </w:p>
    <w:p w14:paraId="0B6A5A90" w14:textId="77777777" w:rsidR="00014D60" w:rsidRPr="00C77C49" w:rsidRDefault="00014D60" w:rsidP="00014D60">
      <w:pPr>
        <w:jc w:val="both"/>
        <w:rPr>
          <w:rFonts w:cs="Arial"/>
        </w:rPr>
      </w:pPr>
      <w:r w:rsidRPr="00C77C49">
        <w:rPr>
          <w:rFonts w:cs="Arial"/>
        </w:rPr>
        <w:t xml:space="preserve">Where the use of Council resources are required the authority will look to utilise reserves, revenue funding or capital receipts as these create no long term revenue cost implications on the Council. </w:t>
      </w:r>
    </w:p>
    <w:p w14:paraId="0A210F12" w14:textId="77777777" w:rsidR="00014D60" w:rsidRDefault="00014D60" w:rsidP="00014D60">
      <w:pPr>
        <w:jc w:val="both"/>
        <w:rPr>
          <w:rFonts w:cs="Arial"/>
        </w:rPr>
      </w:pPr>
    </w:p>
    <w:p w14:paraId="314BE754" w14:textId="77777777" w:rsidR="00014D60" w:rsidRPr="00C77C49" w:rsidRDefault="00014D60" w:rsidP="00014D60">
      <w:pPr>
        <w:jc w:val="both"/>
        <w:rPr>
          <w:rFonts w:cs="Arial"/>
        </w:rPr>
      </w:pPr>
      <w:r w:rsidRPr="00C77C49">
        <w:rPr>
          <w:rFonts w:cs="Arial"/>
        </w:rPr>
        <w:t xml:space="preserve">Borrowing will be used as the last possible source of funding and should be restricted only to those schemes which generate sufficient savings or income to meet the costs of interest and the Minimum Revenue Provision. </w:t>
      </w:r>
    </w:p>
    <w:p w14:paraId="47F6476C" w14:textId="77777777" w:rsidR="00014D60" w:rsidRDefault="00014D60" w:rsidP="00014D60">
      <w:pPr>
        <w:jc w:val="both"/>
        <w:rPr>
          <w:rFonts w:cs="Arial"/>
        </w:rPr>
      </w:pPr>
    </w:p>
    <w:p w14:paraId="4E1EE621" w14:textId="77777777" w:rsidR="00014D60" w:rsidRPr="00C77C49" w:rsidRDefault="00014D60" w:rsidP="00014D60">
      <w:pPr>
        <w:jc w:val="both"/>
        <w:rPr>
          <w:rFonts w:cs="Arial"/>
        </w:rPr>
      </w:pPr>
      <w:r w:rsidRPr="00C77C49">
        <w:rPr>
          <w:rFonts w:cs="Arial"/>
        </w:rPr>
        <w:t xml:space="preserve">Any borrowing incurred to support the provision of new build housing within the Housing Revenue Account must be demonstrated to be affordable over a period of 30 years. </w:t>
      </w:r>
    </w:p>
    <w:p w14:paraId="126F6F69" w14:textId="77777777" w:rsidR="00014D60" w:rsidRDefault="00014D60" w:rsidP="00014D60">
      <w:pPr>
        <w:jc w:val="both"/>
        <w:rPr>
          <w:rFonts w:cs="Arial"/>
          <w:b/>
          <w:bCs/>
        </w:rPr>
      </w:pPr>
    </w:p>
    <w:p w14:paraId="5811C671" w14:textId="77777777" w:rsidR="00014D60" w:rsidRPr="00C77C49" w:rsidRDefault="00014D60" w:rsidP="00014D60">
      <w:pPr>
        <w:jc w:val="both"/>
        <w:rPr>
          <w:rFonts w:cs="Arial"/>
        </w:rPr>
      </w:pPr>
      <w:r w:rsidRPr="00C77C49">
        <w:rPr>
          <w:rFonts w:cs="Arial"/>
          <w:b/>
          <w:bCs/>
        </w:rPr>
        <w:t>2</w:t>
      </w:r>
      <w:r>
        <w:rPr>
          <w:rFonts w:cs="Arial"/>
          <w:b/>
          <w:bCs/>
        </w:rPr>
        <w:t>2</w:t>
      </w:r>
      <w:r w:rsidRPr="00C77C49">
        <w:rPr>
          <w:rFonts w:cs="Arial"/>
          <w:b/>
          <w:bCs/>
        </w:rPr>
        <w:t>.</w:t>
      </w:r>
      <w:r>
        <w:rPr>
          <w:rFonts w:cs="Arial"/>
          <w:b/>
          <w:bCs/>
        </w:rPr>
        <w:tab/>
      </w:r>
      <w:r w:rsidRPr="00C77C49">
        <w:rPr>
          <w:rFonts w:cs="Arial"/>
          <w:b/>
          <w:bCs/>
        </w:rPr>
        <w:t xml:space="preserve"> Relationship between Capital Strategy and Treasury Management </w:t>
      </w:r>
    </w:p>
    <w:p w14:paraId="3CF6B8D7" w14:textId="77777777" w:rsidR="00014D60" w:rsidRDefault="00014D60" w:rsidP="00014D60">
      <w:pPr>
        <w:jc w:val="both"/>
        <w:rPr>
          <w:rFonts w:cs="Arial"/>
        </w:rPr>
      </w:pPr>
    </w:p>
    <w:p w14:paraId="601DD723" w14:textId="77777777" w:rsidR="00014D60" w:rsidRPr="00C77C49" w:rsidRDefault="00014D60" w:rsidP="00014D60">
      <w:pPr>
        <w:jc w:val="both"/>
        <w:rPr>
          <w:rFonts w:cs="Arial"/>
        </w:rPr>
      </w:pPr>
      <w:r w:rsidRPr="00C77C49">
        <w:rPr>
          <w:rFonts w:cs="Arial"/>
        </w:rPr>
        <w:t xml:space="preserve">Treasury management refers to the processes of managing and reporting on the Council’s performance in matters of investment and borrowing. </w:t>
      </w:r>
    </w:p>
    <w:p w14:paraId="73D33B0B" w14:textId="77777777" w:rsidR="00014D60" w:rsidRDefault="00014D60" w:rsidP="00014D60">
      <w:pPr>
        <w:jc w:val="both"/>
        <w:rPr>
          <w:rFonts w:cs="Arial"/>
        </w:rPr>
      </w:pPr>
    </w:p>
    <w:p w14:paraId="098D1354" w14:textId="77777777" w:rsidR="00014D60" w:rsidRPr="00C77C49" w:rsidRDefault="00014D60" w:rsidP="00014D60">
      <w:pPr>
        <w:jc w:val="both"/>
        <w:rPr>
          <w:rFonts w:cs="Arial"/>
        </w:rPr>
      </w:pPr>
      <w:r w:rsidRPr="00C77C49">
        <w:rPr>
          <w:rFonts w:cs="Arial"/>
        </w:rPr>
        <w:t xml:space="preserve">The Council’s policy on Treasury Management has numerous links to the Capital Strategy. It is not intended that this Strategy replace the reporting requirements of the Treasury Management Strategy and includes a summary of the major points of that strategy and associated governance processes. </w:t>
      </w:r>
    </w:p>
    <w:p w14:paraId="042B3A96" w14:textId="77777777" w:rsidR="00014D60" w:rsidRDefault="00014D60" w:rsidP="00014D60">
      <w:pPr>
        <w:jc w:val="both"/>
        <w:rPr>
          <w:rFonts w:cs="Arial"/>
        </w:rPr>
      </w:pPr>
    </w:p>
    <w:p w14:paraId="09734165" w14:textId="77777777" w:rsidR="00014D60" w:rsidRPr="00C77C49" w:rsidRDefault="00014D60" w:rsidP="00014D60">
      <w:pPr>
        <w:jc w:val="both"/>
        <w:rPr>
          <w:rFonts w:cs="Arial"/>
        </w:rPr>
      </w:pPr>
      <w:r w:rsidRPr="00C77C49">
        <w:rPr>
          <w:rFonts w:cs="Arial"/>
        </w:rPr>
        <w:lastRenderedPageBreak/>
        <w:t xml:space="preserve">Key Treasury decisions are the responsibility of full Council and are contained within the Treasury Management Strategy. </w:t>
      </w:r>
    </w:p>
    <w:p w14:paraId="25A07C4F" w14:textId="77777777" w:rsidR="00014D60" w:rsidRDefault="00014D60" w:rsidP="00014D60">
      <w:pPr>
        <w:jc w:val="both"/>
        <w:rPr>
          <w:rFonts w:cs="Arial"/>
        </w:rPr>
      </w:pPr>
    </w:p>
    <w:p w14:paraId="18CDBA85" w14:textId="77777777" w:rsidR="00014D60" w:rsidRDefault="00014D60" w:rsidP="00014D60">
      <w:pPr>
        <w:jc w:val="both"/>
        <w:rPr>
          <w:rFonts w:cs="Arial"/>
        </w:rPr>
      </w:pPr>
      <w:r>
        <w:rPr>
          <w:rFonts w:cs="Arial"/>
        </w:rPr>
        <w:t>These include:</w:t>
      </w:r>
    </w:p>
    <w:p w14:paraId="27792F4C" w14:textId="77777777" w:rsidR="00014D60" w:rsidRPr="00C77C49" w:rsidRDefault="00014D60" w:rsidP="00014D60">
      <w:pPr>
        <w:jc w:val="both"/>
        <w:rPr>
          <w:rFonts w:cs="Arial"/>
        </w:rPr>
      </w:pPr>
    </w:p>
    <w:p w14:paraId="6F184C2D" w14:textId="77777777" w:rsidR="00014D60" w:rsidRPr="00C77C49" w:rsidRDefault="00014D60" w:rsidP="00014D60">
      <w:pPr>
        <w:numPr>
          <w:ilvl w:val="0"/>
          <w:numId w:val="43"/>
        </w:numPr>
        <w:spacing w:after="100" w:line="276" w:lineRule="auto"/>
        <w:ind w:left="709" w:hanging="283"/>
        <w:jc w:val="both"/>
        <w:rPr>
          <w:rFonts w:cs="Arial"/>
        </w:rPr>
      </w:pPr>
      <w:r w:rsidRPr="00C77C49">
        <w:rPr>
          <w:rFonts w:cs="Arial"/>
        </w:rPr>
        <w:t xml:space="preserve">Approved limits on borrowing </w:t>
      </w:r>
    </w:p>
    <w:p w14:paraId="122F44D3" w14:textId="77777777" w:rsidR="00014D60" w:rsidRPr="00C77C49" w:rsidRDefault="00014D60" w:rsidP="00014D60">
      <w:pPr>
        <w:numPr>
          <w:ilvl w:val="0"/>
          <w:numId w:val="43"/>
        </w:numPr>
        <w:spacing w:after="100" w:line="276" w:lineRule="auto"/>
        <w:ind w:left="709" w:hanging="283"/>
        <w:jc w:val="both"/>
        <w:rPr>
          <w:rFonts w:cs="Arial"/>
        </w:rPr>
      </w:pPr>
      <w:r w:rsidRPr="00C77C49">
        <w:rPr>
          <w:rFonts w:cs="Arial"/>
        </w:rPr>
        <w:t xml:space="preserve">Limits for investment types and counterparty limits </w:t>
      </w:r>
    </w:p>
    <w:p w14:paraId="3A700A79" w14:textId="77777777" w:rsidR="00014D60" w:rsidRPr="00C77C49" w:rsidRDefault="00014D60" w:rsidP="00014D60">
      <w:pPr>
        <w:numPr>
          <w:ilvl w:val="0"/>
          <w:numId w:val="43"/>
        </w:numPr>
        <w:spacing w:after="100" w:line="276" w:lineRule="auto"/>
        <w:ind w:left="709" w:hanging="283"/>
        <w:jc w:val="both"/>
        <w:rPr>
          <w:rFonts w:cs="Arial"/>
        </w:rPr>
      </w:pPr>
      <w:r w:rsidRPr="00C77C49">
        <w:rPr>
          <w:rFonts w:cs="Arial"/>
        </w:rPr>
        <w:t xml:space="preserve">Planned capital expenditure </w:t>
      </w:r>
    </w:p>
    <w:p w14:paraId="774EAA28" w14:textId="77777777" w:rsidR="00014D60" w:rsidRPr="00C77C49" w:rsidRDefault="00014D60" w:rsidP="00014D60">
      <w:pPr>
        <w:numPr>
          <w:ilvl w:val="0"/>
          <w:numId w:val="43"/>
        </w:numPr>
        <w:spacing w:after="100" w:line="276" w:lineRule="auto"/>
        <w:ind w:left="709" w:hanging="283"/>
        <w:jc w:val="both"/>
        <w:rPr>
          <w:rFonts w:cs="Arial"/>
        </w:rPr>
      </w:pPr>
      <w:r w:rsidRPr="00C77C49">
        <w:rPr>
          <w:rFonts w:cs="Arial"/>
        </w:rPr>
        <w:t xml:space="preserve">Estimates for the future Capital Financing Requirement </w:t>
      </w:r>
    </w:p>
    <w:p w14:paraId="1FE2B772" w14:textId="77777777" w:rsidR="00014D60" w:rsidRPr="00E21385" w:rsidRDefault="00014D60" w:rsidP="00014D60">
      <w:pPr>
        <w:numPr>
          <w:ilvl w:val="0"/>
          <w:numId w:val="43"/>
        </w:numPr>
        <w:spacing w:after="100" w:line="276" w:lineRule="auto"/>
        <w:ind w:left="709" w:hanging="283"/>
        <w:jc w:val="both"/>
        <w:rPr>
          <w:rFonts w:cs="Arial"/>
        </w:rPr>
      </w:pPr>
      <w:r w:rsidRPr="00C77C49">
        <w:rPr>
          <w:rFonts w:cs="Arial"/>
        </w:rPr>
        <w:t xml:space="preserve">Policy on the Minimum Revenue Provision </w:t>
      </w:r>
    </w:p>
    <w:p w14:paraId="57A44E14" w14:textId="77777777" w:rsidR="00014D60" w:rsidRDefault="00014D60" w:rsidP="00014D60">
      <w:pPr>
        <w:jc w:val="both"/>
        <w:rPr>
          <w:rFonts w:cs="Arial"/>
        </w:rPr>
      </w:pPr>
      <w:r w:rsidRPr="00C77C49">
        <w:rPr>
          <w:rFonts w:cs="Arial"/>
        </w:rPr>
        <w:t>Detailed discussion on these matters is delegated to the GARMS Committee who then makes recommendations to Cabinet</w:t>
      </w:r>
      <w:r>
        <w:rPr>
          <w:rFonts w:cs="Arial"/>
        </w:rPr>
        <w:t>.</w:t>
      </w:r>
      <w:r w:rsidRPr="00C77C49">
        <w:rPr>
          <w:rFonts w:cs="Arial"/>
        </w:rPr>
        <w:t xml:space="preserve"> The key impact of a capital programme using borrowing is the creation of a “Capital Financing Requirement” (CFR). The CFR represents the need to borrow external funds as a result of expenditure funded through borrowing. Having a CFR creates the need for a Minimum Revenue Provision (MRP), a sum to be put to one side each year from the General Fund for repayment of debt. </w:t>
      </w:r>
    </w:p>
    <w:p w14:paraId="555441E9" w14:textId="77777777" w:rsidR="00014D60" w:rsidRDefault="00014D60" w:rsidP="00014D60">
      <w:pPr>
        <w:jc w:val="both"/>
        <w:rPr>
          <w:rFonts w:cs="Arial"/>
        </w:rPr>
      </w:pPr>
    </w:p>
    <w:p w14:paraId="1C717006" w14:textId="26459706" w:rsidR="00014D60" w:rsidRDefault="00014D60" w:rsidP="00014D60">
      <w:pPr>
        <w:jc w:val="both"/>
        <w:rPr>
          <w:rFonts w:cs="Arial"/>
        </w:rPr>
      </w:pPr>
      <w:r w:rsidRPr="00C77C49">
        <w:rPr>
          <w:rFonts w:cs="Arial"/>
        </w:rPr>
        <w:t>The Council’s MRP policy is to make provision for the repayment of debt equally over the life of the asset that the borrowing relates to</w:t>
      </w:r>
      <w:r>
        <w:rPr>
          <w:rFonts w:cs="Arial"/>
        </w:rPr>
        <w:t xml:space="preserve"> </w:t>
      </w:r>
      <w:r w:rsidRPr="00C77C49">
        <w:rPr>
          <w:rFonts w:cs="Arial"/>
        </w:rPr>
        <w:t xml:space="preserve">The Audit and Standards Committee receive at a minimum a mid-year monitoring report for Treasury management and an end of year outturn report. Where circumstances require, such as a material fall in the value of investments, a report would be prepared and presented to the next meeting of the Committee by the S151 Officer. </w:t>
      </w:r>
    </w:p>
    <w:p w14:paraId="56BF892F" w14:textId="77777777" w:rsidR="00E84960" w:rsidRPr="00C77C49" w:rsidRDefault="00E84960" w:rsidP="00014D60">
      <w:pPr>
        <w:jc w:val="both"/>
        <w:rPr>
          <w:rFonts w:cs="Arial"/>
        </w:rPr>
      </w:pPr>
    </w:p>
    <w:p w14:paraId="46E34AA1" w14:textId="77777777" w:rsidR="00014D60" w:rsidRDefault="00014D60" w:rsidP="00014D60">
      <w:pPr>
        <w:jc w:val="both"/>
        <w:rPr>
          <w:rFonts w:cs="Arial"/>
          <w:b/>
          <w:bCs/>
        </w:rPr>
      </w:pPr>
    </w:p>
    <w:p w14:paraId="18B2E206" w14:textId="77777777" w:rsidR="00014D60" w:rsidRPr="00C77C49" w:rsidRDefault="00014D60" w:rsidP="00014D60">
      <w:pPr>
        <w:jc w:val="both"/>
        <w:rPr>
          <w:rFonts w:cs="Arial"/>
        </w:rPr>
      </w:pPr>
      <w:r w:rsidRPr="00C77C49">
        <w:rPr>
          <w:rFonts w:cs="Arial"/>
          <w:b/>
          <w:bCs/>
        </w:rPr>
        <w:t xml:space="preserve">Section 4- </w:t>
      </w:r>
      <w:r w:rsidRPr="00E21385">
        <w:rPr>
          <w:rFonts w:cs="Arial"/>
          <w:b/>
          <w:bCs/>
          <w:caps/>
          <w:u w:val="single"/>
        </w:rPr>
        <w:t>Risk Management</w:t>
      </w:r>
      <w:r w:rsidRPr="00C77C49">
        <w:rPr>
          <w:rFonts w:cs="Arial"/>
          <w:b/>
          <w:bCs/>
        </w:rPr>
        <w:t xml:space="preserve"> </w:t>
      </w:r>
    </w:p>
    <w:p w14:paraId="2195CA5C" w14:textId="77777777" w:rsidR="00014D60" w:rsidRDefault="00014D60" w:rsidP="00014D60">
      <w:pPr>
        <w:jc w:val="both"/>
        <w:rPr>
          <w:rFonts w:cs="Arial"/>
          <w:b/>
          <w:bCs/>
        </w:rPr>
      </w:pPr>
    </w:p>
    <w:p w14:paraId="0A80FE85" w14:textId="77777777" w:rsidR="00014D60" w:rsidRPr="00C77C49" w:rsidRDefault="00014D60" w:rsidP="00014D60">
      <w:pPr>
        <w:numPr>
          <w:ilvl w:val="4"/>
          <w:numId w:val="29"/>
        </w:numPr>
        <w:jc w:val="both"/>
        <w:rPr>
          <w:rFonts w:cs="Arial"/>
        </w:rPr>
      </w:pPr>
      <w:r w:rsidRPr="00C77C49">
        <w:rPr>
          <w:rFonts w:cs="Arial"/>
          <w:b/>
          <w:bCs/>
        </w:rPr>
        <w:t xml:space="preserve"> Embedding Risk Management in the Capital Programme </w:t>
      </w:r>
    </w:p>
    <w:p w14:paraId="11B0F8A7" w14:textId="77777777" w:rsidR="00014D60" w:rsidRDefault="00014D60" w:rsidP="00014D60">
      <w:pPr>
        <w:jc w:val="both"/>
        <w:rPr>
          <w:rFonts w:cs="Arial"/>
        </w:rPr>
      </w:pPr>
    </w:p>
    <w:p w14:paraId="4D3FEB52" w14:textId="77777777" w:rsidR="00014D60" w:rsidRPr="00C77C49" w:rsidRDefault="00014D60" w:rsidP="00014D60">
      <w:pPr>
        <w:jc w:val="both"/>
        <w:rPr>
          <w:rFonts w:cs="Arial"/>
        </w:rPr>
      </w:pPr>
      <w:r w:rsidRPr="00C77C49">
        <w:rPr>
          <w:rFonts w:cs="Arial"/>
        </w:rPr>
        <w:t xml:space="preserve">The Capital Strategy must be considered alongside the principles of risk management. Risks are inevitable within a capital programme, as with all aspects of Council operations, and effective management of risk is a vital part of the capital strategy. </w:t>
      </w:r>
    </w:p>
    <w:p w14:paraId="28337BA9" w14:textId="77777777" w:rsidR="00014D60" w:rsidRDefault="00014D60" w:rsidP="00014D60">
      <w:pPr>
        <w:jc w:val="both"/>
        <w:rPr>
          <w:rFonts w:cs="Arial"/>
        </w:rPr>
      </w:pPr>
    </w:p>
    <w:p w14:paraId="5A1BD830" w14:textId="77777777" w:rsidR="00014D60" w:rsidRDefault="00014D60" w:rsidP="00014D60">
      <w:pPr>
        <w:jc w:val="both"/>
        <w:rPr>
          <w:rFonts w:cs="Arial"/>
        </w:rPr>
      </w:pPr>
      <w:r w:rsidRPr="00C77C49">
        <w:rPr>
          <w:rFonts w:cs="Arial"/>
        </w:rPr>
        <w:t xml:space="preserve">The types of risk the authority is exposed to in the Capital </w:t>
      </w:r>
      <w:r>
        <w:rPr>
          <w:rFonts w:cs="Arial"/>
        </w:rPr>
        <w:t>Programme are summarised below:</w:t>
      </w:r>
    </w:p>
    <w:p w14:paraId="79418273" w14:textId="77777777" w:rsidR="00014D60" w:rsidRPr="00C77C49" w:rsidRDefault="00014D60" w:rsidP="00014D60">
      <w:pPr>
        <w:jc w:val="both"/>
        <w:rPr>
          <w:rFonts w:cs="Arial"/>
        </w:rPr>
      </w:pPr>
    </w:p>
    <w:p w14:paraId="61366DE3" w14:textId="77777777" w:rsidR="00014D60" w:rsidRDefault="00014D60" w:rsidP="00014D60">
      <w:pPr>
        <w:ind w:left="284"/>
        <w:jc w:val="both"/>
        <w:rPr>
          <w:rFonts w:cs="Arial"/>
        </w:rPr>
      </w:pPr>
      <w:r w:rsidRPr="00C77C49">
        <w:rPr>
          <w:rFonts w:cs="Arial"/>
        </w:rPr>
        <w:t xml:space="preserve"> Financial Risk – The risk of significant cost overruns or commercial investments not performing as expected. The authority has a low appetite for this risk as it would impact upon available resources. Mitigation will be in the form of close scrutiny of capital spending through the budget monitoring process. </w:t>
      </w:r>
    </w:p>
    <w:p w14:paraId="00227DE7" w14:textId="77777777" w:rsidR="00014D60" w:rsidRPr="00C77C49" w:rsidRDefault="00014D60" w:rsidP="00014D60">
      <w:pPr>
        <w:ind w:left="284"/>
        <w:jc w:val="both"/>
        <w:rPr>
          <w:rFonts w:cs="Arial"/>
        </w:rPr>
      </w:pPr>
    </w:p>
    <w:p w14:paraId="4644B1A1" w14:textId="77777777" w:rsidR="00014D60" w:rsidRDefault="00014D60" w:rsidP="00014D60">
      <w:pPr>
        <w:ind w:left="284"/>
        <w:jc w:val="both"/>
        <w:rPr>
          <w:rFonts w:cs="Arial"/>
        </w:rPr>
      </w:pPr>
      <w:r w:rsidRPr="00C77C49">
        <w:rPr>
          <w:rFonts w:cs="Arial"/>
        </w:rPr>
        <w:t xml:space="preserve"> Strategic Risk – The risk of not delivering key Council priorities or projects. Mitigation will be in the form of careful selection and planning of capital projects before commencement and project managers reviewing project progress and taking corrective action where necessary. Major changes in the outcomes of schemes will be reported to the appropriate Committee. </w:t>
      </w:r>
    </w:p>
    <w:p w14:paraId="545F357F" w14:textId="77777777" w:rsidR="00014D60" w:rsidRPr="00C77C49" w:rsidRDefault="00014D60" w:rsidP="00014D60">
      <w:pPr>
        <w:ind w:left="284"/>
        <w:jc w:val="both"/>
        <w:rPr>
          <w:rFonts w:cs="Arial"/>
        </w:rPr>
      </w:pPr>
    </w:p>
    <w:p w14:paraId="6394205A" w14:textId="77777777" w:rsidR="00014D60" w:rsidRDefault="00014D60" w:rsidP="00014D60">
      <w:pPr>
        <w:ind w:left="284"/>
        <w:jc w:val="both"/>
        <w:rPr>
          <w:rFonts w:cs="Arial"/>
        </w:rPr>
      </w:pPr>
      <w:r w:rsidRPr="00C77C49">
        <w:rPr>
          <w:rFonts w:cs="Arial"/>
        </w:rPr>
        <w:lastRenderedPageBreak/>
        <w:t xml:space="preserve"> Governance risk – The risk of capital spending decisions not being appropriately considered and decisions not being made at the correct level. Mitigation is the governance principles contained within the capital strategy. </w:t>
      </w:r>
    </w:p>
    <w:p w14:paraId="44AA0705" w14:textId="77777777" w:rsidR="00014D60" w:rsidRPr="00C77C49" w:rsidRDefault="00014D60" w:rsidP="00014D60">
      <w:pPr>
        <w:ind w:left="284"/>
        <w:jc w:val="both"/>
        <w:rPr>
          <w:rFonts w:cs="Arial"/>
        </w:rPr>
      </w:pPr>
    </w:p>
    <w:p w14:paraId="49DC1AFD" w14:textId="77777777" w:rsidR="00014D60" w:rsidRDefault="00014D60" w:rsidP="00014D60">
      <w:pPr>
        <w:ind w:left="284"/>
        <w:jc w:val="both"/>
        <w:rPr>
          <w:rFonts w:cs="Arial"/>
        </w:rPr>
      </w:pPr>
      <w:r w:rsidRPr="00C77C49">
        <w:rPr>
          <w:rFonts w:cs="Arial"/>
        </w:rPr>
        <w:t xml:space="preserve"> Resourcing risk – The risk that insufficient funds are available to fund the capital programme or that the incorrect type of funds is applied to capital projects. This is mitigated by the financing of capital projects being reviewed by the S151 Officer as part of the budget setting and the outturn. </w:t>
      </w:r>
    </w:p>
    <w:p w14:paraId="1C044363" w14:textId="77777777" w:rsidR="00014D60" w:rsidRPr="00C77C49" w:rsidRDefault="00014D60" w:rsidP="00014D60">
      <w:pPr>
        <w:ind w:left="284"/>
        <w:jc w:val="both"/>
        <w:rPr>
          <w:rFonts w:cs="Arial"/>
        </w:rPr>
      </w:pPr>
    </w:p>
    <w:p w14:paraId="6A9A00E2" w14:textId="77777777" w:rsidR="00014D60" w:rsidRPr="00E21385" w:rsidRDefault="00014D60" w:rsidP="00014D60">
      <w:pPr>
        <w:numPr>
          <w:ilvl w:val="4"/>
          <w:numId w:val="29"/>
        </w:numPr>
        <w:jc w:val="both"/>
        <w:rPr>
          <w:rFonts w:cs="Arial"/>
        </w:rPr>
      </w:pPr>
      <w:r w:rsidRPr="00C77C49">
        <w:rPr>
          <w:rFonts w:cs="Arial"/>
        </w:rPr>
        <w:t xml:space="preserve"> </w:t>
      </w:r>
      <w:r w:rsidRPr="00C77C49">
        <w:rPr>
          <w:rFonts w:cs="Arial"/>
          <w:b/>
          <w:bCs/>
        </w:rPr>
        <w:t xml:space="preserve">Knowledge and Skills within the organisation </w:t>
      </w:r>
    </w:p>
    <w:p w14:paraId="3120C8BA" w14:textId="77777777" w:rsidR="00014D60" w:rsidRPr="00C77C49" w:rsidRDefault="00014D60" w:rsidP="00014D60">
      <w:pPr>
        <w:ind w:left="567"/>
        <w:jc w:val="both"/>
        <w:rPr>
          <w:rFonts w:cs="Arial"/>
        </w:rPr>
      </w:pPr>
    </w:p>
    <w:p w14:paraId="51C14D41" w14:textId="77777777" w:rsidR="00014D60" w:rsidRDefault="00014D60" w:rsidP="00014D60">
      <w:pPr>
        <w:jc w:val="both"/>
        <w:rPr>
          <w:rFonts w:cs="Arial"/>
        </w:rPr>
      </w:pPr>
      <w:r w:rsidRPr="00C77C49">
        <w:rPr>
          <w:rFonts w:cs="Arial"/>
        </w:rPr>
        <w:t xml:space="preserve">The Property Services team has officers of multiple disciplines who are experienced at leading capital projects, managing the Council’s property portfolio and working within the local property market. They have experience of dealing with acquisitions, disposals, new commercial and residential development and redevelopment of brownfield sites. </w:t>
      </w:r>
    </w:p>
    <w:p w14:paraId="7FBD8D9A" w14:textId="77777777" w:rsidR="00014D60" w:rsidRPr="00C77C49" w:rsidRDefault="00014D60" w:rsidP="00014D60">
      <w:pPr>
        <w:jc w:val="both"/>
        <w:rPr>
          <w:rFonts w:cs="Arial"/>
        </w:rPr>
      </w:pPr>
      <w:r w:rsidRPr="00C77C49">
        <w:rPr>
          <w:rFonts w:cs="Arial"/>
        </w:rPr>
        <w:t xml:space="preserve">The </w:t>
      </w:r>
      <w:r>
        <w:rPr>
          <w:rFonts w:cs="Arial"/>
        </w:rPr>
        <w:t xml:space="preserve">Finance team are involved in the development and monitoring of the </w:t>
      </w:r>
      <w:r w:rsidRPr="00C77C49">
        <w:rPr>
          <w:rFonts w:cs="Arial"/>
        </w:rPr>
        <w:t>Capital Programme</w:t>
      </w:r>
      <w:r>
        <w:rPr>
          <w:rFonts w:cs="Arial"/>
        </w:rPr>
        <w:t>.</w:t>
      </w:r>
      <w:r w:rsidRPr="00C77C49">
        <w:rPr>
          <w:rFonts w:cs="Arial"/>
        </w:rPr>
        <w:t xml:space="preserve"> They have many years of experience in managing local authority capital programmes</w:t>
      </w:r>
      <w:r>
        <w:rPr>
          <w:rFonts w:cs="Arial"/>
        </w:rPr>
        <w:t>.</w:t>
      </w:r>
    </w:p>
    <w:p w14:paraId="25EE48BB" w14:textId="77777777" w:rsidR="00014D60" w:rsidRDefault="00014D60" w:rsidP="00014D60">
      <w:pPr>
        <w:jc w:val="both"/>
        <w:rPr>
          <w:rFonts w:cs="Arial"/>
        </w:rPr>
      </w:pPr>
    </w:p>
    <w:p w14:paraId="4168E41B" w14:textId="77777777" w:rsidR="00014D60" w:rsidRPr="00C77C49" w:rsidRDefault="00014D60" w:rsidP="00014D60">
      <w:pPr>
        <w:jc w:val="both"/>
        <w:rPr>
          <w:rFonts w:cs="Arial"/>
        </w:rPr>
      </w:pPr>
      <w:r w:rsidRPr="00C77C49">
        <w:rPr>
          <w:rFonts w:cs="Arial"/>
        </w:rPr>
        <w:t xml:space="preserve">Legal Services will be provided by the Council’s in-house legal team who will form a key part of the decision making around Capital projects. All solicitors are required to complete an annual Statement of Competence to the regulatory body to ensure any professional training needs are identified and addressed. </w:t>
      </w:r>
    </w:p>
    <w:p w14:paraId="7003C628" w14:textId="77777777" w:rsidR="00014D60" w:rsidRDefault="00014D60" w:rsidP="00014D60">
      <w:pPr>
        <w:jc w:val="both"/>
        <w:rPr>
          <w:rFonts w:cs="Arial"/>
        </w:rPr>
      </w:pPr>
    </w:p>
    <w:p w14:paraId="5BD5F161" w14:textId="77777777" w:rsidR="00014D60" w:rsidRPr="00C77C49" w:rsidRDefault="00014D60" w:rsidP="00014D60">
      <w:pPr>
        <w:jc w:val="both"/>
        <w:rPr>
          <w:rFonts w:cs="Arial"/>
        </w:rPr>
      </w:pPr>
      <w:r w:rsidRPr="00C77C49">
        <w:rPr>
          <w:rFonts w:cs="Arial"/>
        </w:rPr>
        <w:t xml:space="preserve">Where necessary external advice may be sought for all types of financial, property and legal advice. These costs, or at least appropriate estimates, will be included in the business cases of capital schemes. </w:t>
      </w:r>
    </w:p>
    <w:p w14:paraId="3999F207" w14:textId="77777777" w:rsidR="00014D60" w:rsidRDefault="00014D60" w:rsidP="00014D60">
      <w:pPr>
        <w:jc w:val="both"/>
        <w:rPr>
          <w:rFonts w:cs="Arial"/>
        </w:rPr>
      </w:pPr>
    </w:p>
    <w:p w14:paraId="61E6BD93" w14:textId="77777777" w:rsidR="00014D60" w:rsidRDefault="00014D60" w:rsidP="00014D60">
      <w:pPr>
        <w:jc w:val="both"/>
        <w:rPr>
          <w:rFonts w:cs="Arial"/>
        </w:rPr>
      </w:pPr>
      <w:r w:rsidRPr="00C77C49">
        <w:rPr>
          <w:rFonts w:cs="Arial"/>
        </w:rPr>
        <w:t xml:space="preserve">Officers will work with members to ensure that training needs for elected members are appropriately identified. As a minimum annual training will be provided around the Treasury </w:t>
      </w:r>
      <w:r>
        <w:rPr>
          <w:rFonts w:cs="Arial"/>
        </w:rPr>
        <w:t>Management Strategy.</w:t>
      </w:r>
    </w:p>
    <w:p w14:paraId="6C0391BB" w14:textId="77777777" w:rsidR="00014D60" w:rsidRDefault="00014D60" w:rsidP="00014D60">
      <w:pPr>
        <w:jc w:val="both"/>
        <w:rPr>
          <w:rFonts w:cs="Arial"/>
        </w:rPr>
      </w:pPr>
    </w:p>
    <w:p w14:paraId="769B0A07" w14:textId="77777777" w:rsidR="00014D60" w:rsidRDefault="00014D60" w:rsidP="00E81658">
      <w:pPr>
        <w:rPr>
          <w:rFonts w:cs="Arial"/>
        </w:rPr>
      </w:pPr>
    </w:p>
    <w:p w14:paraId="066559A9" w14:textId="53C99148" w:rsidR="00013A0A" w:rsidRPr="00014D60" w:rsidRDefault="00014D60" w:rsidP="00FB184A">
      <w:pPr>
        <w:pageBreakBefore/>
        <w:autoSpaceDE w:val="0"/>
        <w:autoSpaceDN w:val="0"/>
        <w:adjustRightInd w:val="0"/>
        <w:jc w:val="right"/>
        <w:rPr>
          <w:rFonts w:cs="Arial"/>
          <w:color w:val="000000"/>
          <w:sz w:val="32"/>
          <w:szCs w:val="32"/>
          <w:lang w:eastAsia="en-GB"/>
        </w:rPr>
      </w:pPr>
      <w:r w:rsidRPr="00014D60">
        <w:rPr>
          <w:rFonts w:cs="Arial"/>
          <w:b/>
          <w:bCs/>
          <w:color w:val="000000"/>
          <w:sz w:val="32"/>
          <w:szCs w:val="32"/>
          <w:lang w:eastAsia="en-GB"/>
        </w:rPr>
        <w:lastRenderedPageBreak/>
        <w:t>APPENDIX H</w:t>
      </w:r>
    </w:p>
    <w:p w14:paraId="792D5DBE" w14:textId="77777777" w:rsidR="00013A0A" w:rsidRPr="002629F7" w:rsidRDefault="00013A0A" w:rsidP="00013A0A">
      <w:pPr>
        <w:autoSpaceDE w:val="0"/>
        <w:autoSpaceDN w:val="0"/>
        <w:adjustRightInd w:val="0"/>
        <w:jc w:val="both"/>
        <w:rPr>
          <w:rFonts w:cs="Arial"/>
          <w:b/>
          <w:color w:val="000000"/>
          <w:szCs w:val="24"/>
          <w:lang w:eastAsia="en-GB"/>
        </w:rPr>
      </w:pPr>
    </w:p>
    <w:p w14:paraId="5C722873" w14:textId="6915A83C" w:rsidR="00013A0A" w:rsidRPr="002629F7" w:rsidRDefault="002629F7" w:rsidP="00013A0A">
      <w:pPr>
        <w:autoSpaceDE w:val="0"/>
        <w:autoSpaceDN w:val="0"/>
        <w:adjustRightInd w:val="0"/>
        <w:jc w:val="both"/>
        <w:rPr>
          <w:rFonts w:cs="Arial"/>
          <w:b/>
          <w:color w:val="000000"/>
          <w:szCs w:val="24"/>
          <w:lang w:eastAsia="en-GB"/>
        </w:rPr>
      </w:pPr>
      <w:r w:rsidRPr="002629F7">
        <w:rPr>
          <w:rFonts w:cs="Arial"/>
          <w:b/>
          <w:color w:val="000000"/>
          <w:szCs w:val="24"/>
          <w:lang w:eastAsia="en-GB"/>
        </w:rPr>
        <w:t>Glossary of Terms</w:t>
      </w:r>
    </w:p>
    <w:p w14:paraId="2286A94F" w14:textId="77777777" w:rsidR="00013A0A" w:rsidRPr="002629F7" w:rsidRDefault="00013A0A" w:rsidP="00013A0A">
      <w:pPr>
        <w:autoSpaceDE w:val="0"/>
        <w:autoSpaceDN w:val="0"/>
        <w:adjustRightInd w:val="0"/>
        <w:jc w:val="both"/>
        <w:rPr>
          <w:rFonts w:cs="Arial"/>
          <w:color w:val="000000"/>
          <w:szCs w:val="24"/>
          <w:lang w:eastAsia="en-GB"/>
        </w:rPr>
      </w:pPr>
    </w:p>
    <w:p w14:paraId="22A5D67B" w14:textId="06C5F6B2" w:rsidR="00FB184A" w:rsidRPr="002629F7" w:rsidRDefault="00013A0A" w:rsidP="00F2433C">
      <w:pPr>
        <w:pStyle w:val="ListParagraph"/>
        <w:numPr>
          <w:ilvl w:val="0"/>
          <w:numId w:val="61"/>
        </w:numPr>
        <w:autoSpaceDE w:val="0"/>
        <w:autoSpaceDN w:val="0"/>
        <w:adjustRightInd w:val="0"/>
        <w:ind w:left="426"/>
        <w:jc w:val="both"/>
        <w:rPr>
          <w:rFonts w:cs="Arial"/>
          <w:color w:val="000000"/>
          <w:szCs w:val="24"/>
          <w:lang w:eastAsia="en-GB"/>
        </w:rPr>
      </w:pPr>
      <w:r w:rsidRPr="002629F7">
        <w:rPr>
          <w:rFonts w:cs="Arial"/>
          <w:b/>
          <w:bCs/>
          <w:color w:val="000000"/>
          <w:szCs w:val="24"/>
          <w:lang w:eastAsia="en-GB"/>
        </w:rPr>
        <w:t xml:space="preserve">Annuity </w:t>
      </w:r>
      <w:r w:rsidRPr="002629F7">
        <w:rPr>
          <w:rFonts w:cs="Arial"/>
          <w:color w:val="000000"/>
          <w:szCs w:val="24"/>
          <w:lang w:eastAsia="en-GB"/>
        </w:rPr>
        <w:t xml:space="preserve">– method of repaying a loan where the payment amount remains uniform throughout the life of loan, therefore the split varies such that the proportion of the payment relating to the principal increases as the amount of interest decreases. </w:t>
      </w:r>
    </w:p>
    <w:p w14:paraId="7395BAEB" w14:textId="77777777" w:rsidR="00FB184A" w:rsidRPr="002629F7" w:rsidRDefault="00FB184A" w:rsidP="00FB184A">
      <w:pPr>
        <w:pStyle w:val="ListParagraph"/>
        <w:autoSpaceDE w:val="0"/>
        <w:autoSpaceDN w:val="0"/>
        <w:adjustRightInd w:val="0"/>
        <w:ind w:left="426"/>
        <w:jc w:val="both"/>
        <w:rPr>
          <w:rFonts w:cs="Arial"/>
          <w:color w:val="000000"/>
          <w:szCs w:val="24"/>
          <w:lang w:eastAsia="en-GB"/>
        </w:rPr>
      </w:pPr>
    </w:p>
    <w:p w14:paraId="59DF8030" w14:textId="5FA4F8B6" w:rsidR="00FB184A" w:rsidRPr="002629F7" w:rsidRDefault="00013A0A" w:rsidP="00F2433C">
      <w:pPr>
        <w:pStyle w:val="ListParagraph"/>
        <w:numPr>
          <w:ilvl w:val="0"/>
          <w:numId w:val="61"/>
        </w:numPr>
        <w:autoSpaceDE w:val="0"/>
        <w:autoSpaceDN w:val="0"/>
        <w:adjustRightInd w:val="0"/>
        <w:ind w:left="426"/>
        <w:jc w:val="both"/>
        <w:rPr>
          <w:rFonts w:cs="Arial"/>
          <w:color w:val="000000"/>
          <w:szCs w:val="24"/>
          <w:lang w:eastAsia="en-GB"/>
        </w:rPr>
      </w:pPr>
      <w:r w:rsidRPr="002629F7">
        <w:rPr>
          <w:rFonts w:cs="Arial"/>
          <w:b/>
          <w:bCs/>
          <w:color w:val="000000"/>
          <w:szCs w:val="24"/>
          <w:lang w:eastAsia="en-GB"/>
        </w:rPr>
        <w:t xml:space="preserve">Bail-In </w:t>
      </w:r>
      <w:r w:rsidRPr="002629F7">
        <w:rPr>
          <w:rFonts w:cs="Arial"/>
          <w:color w:val="000000"/>
          <w:szCs w:val="24"/>
          <w:lang w:eastAsia="en-GB"/>
        </w:rPr>
        <w:t xml:space="preserve">– previously, in response to the banking crisis, some governments used taxpayer funds to support banks in danger of failing. The European Union’s Banking Recovery and Resolution Directive (BRRD) requires that, in future, ‘bail in’ will be applied in such a scenario; this means that after shareholders’ equity, depositors’ funds comprising balances over c£85k will be used to support the bank at risk. The £85k threshold is not available to local authorities and therefore all unsecured deposits with banks and building societies will be at risk of ‘bail in’. </w:t>
      </w:r>
    </w:p>
    <w:p w14:paraId="56E638A1" w14:textId="77777777" w:rsidR="00FB184A" w:rsidRPr="002629F7" w:rsidRDefault="00FB184A" w:rsidP="00FB184A">
      <w:pPr>
        <w:autoSpaceDE w:val="0"/>
        <w:autoSpaceDN w:val="0"/>
        <w:adjustRightInd w:val="0"/>
        <w:jc w:val="both"/>
        <w:rPr>
          <w:rFonts w:cs="Arial"/>
          <w:color w:val="000000"/>
          <w:szCs w:val="24"/>
          <w:lang w:eastAsia="en-GB"/>
        </w:rPr>
      </w:pPr>
    </w:p>
    <w:p w14:paraId="23DCDB0E" w14:textId="77777777" w:rsidR="00FB184A" w:rsidRPr="002629F7" w:rsidRDefault="00013A0A" w:rsidP="00F2433C">
      <w:pPr>
        <w:pStyle w:val="ListParagraph"/>
        <w:numPr>
          <w:ilvl w:val="0"/>
          <w:numId w:val="61"/>
        </w:numPr>
        <w:autoSpaceDE w:val="0"/>
        <w:autoSpaceDN w:val="0"/>
        <w:adjustRightInd w:val="0"/>
        <w:ind w:left="426"/>
        <w:jc w:val="both"/>
        <w:rPr>
          <w:rFonts w:cs="Arial"/>
          <w:color w:val="000000"/>
          <w:szCs w:val="24"/>
          <w:lang w:eastAsia="en-GB"/>
        </w:rPr>
      </w:pPr>
      <w:r w:rsidRPr="002629F7">
        <w:rPr>
          <w:rFonts w:cs="Arial"/>
          <w:b/>
          <w:bCs/>
          <w:color w:val="000000"/>
          <w:szCs w:val="24"/>
          <w:lang w:eastAsia="en-GB"/>
        </w:rPr>
        <w:t xml:space="preserve">Base Rate </w:t>
      </w:r>
      <w:r w:rsidRPr="002629F7">
        <w:rPr>
          <w:rFonts w:cs="Arial"/>
          <w:color w:val="000000"/>
          <w:szCs w:val="24"/>
          <w:lang w:eastAsia="en-GB"/>
        </w:rPr>
        <w:t xml:space="preserve">– minimum lending rate of a bank or financial institution in the UK </w:t>
      </w:r>
    </w:p>
    <w:p w14:paraId="6ACC647A" w14:textId="77777777" w:rsidR="00FB184A" w:rsidRPr="002629F7" w:rsidRDefault="00FB184A" w:rsidP="00FB184A">
      <w:pPr>
        <w:pStyle w:val="ListParagraph"/>
        <w:rPr>
          <w:rFonts w:cs="Arial"/>
          <w:color w:val="000000"/>
          <w:szCs w:val="24"/>
          <w:lang w:eastAsia="en-GB"/>
        </w:rPr>
      </w:pPr>
    </w:p>
    <w:p w14:paraId="15AF1F73" w14:textId="77777777" w:rsidR="002629F7" w:rsidRPr="002629F7" w:rsidRDefault="00013A0A" w:rsidP="00F2433C">
      <w:pPr>
        <w:pStyle w:val="ListParagraph"/>
        <w:numPr>
          <w:ilvl w:val="0"/>
          <w:numId w:val="61"/>
        </w:numPr>
        <w:autoSpaceDE w:val="0"/>
        <w:autoSpaceDN w:val="0"/>
        <w:adjustRightInd w:val="0"/>
        <w:ind w:left="426"/>
        <w:jc w:val="both"/>
        <w:rPr>
          <w:rFonts w:cs="Arial"/>
          <w:color w:val="000000"/>
          <w:szCs w:val="24"/>
          <w:lang w:eastAsia="en-GB"/>
        </w:rPr>
      </w:pPr>
      <w:r w:rsidRPr="002629F7">
        <w:rPr>
          <w:rFonts w:cs="Arial"/>
          <w:b/>
          <w:bCs/>
          <w:color w:val="000000"/>
          <w:szCs w:val="24"/>
          <w:lang w:eastAsia="en-GB"/>
        </w:rPr>
        <w:t xml:space="preserve">Bond </w:t>
      </w:r>
      <w:r w:rsidRPr="002629F7">
        <w:rPr>
          <w:rFonts w:cs="Arial"/>
          <w:color w:val="000000"/>
          <w:szCs w:val="24"/>
          <w:lang w:eastAsia="en-GB"/>
        </w:rPr>
        <w:t xml:space="preserve">– a government or public company’s document undertaking to repay borrowed money usually with a fixed rate of interest. </w:t>
      </w:r>
    </w:p>
    <w:p w14:paraId="7A564701" w14:textId="77777777" w:rsidR="002629F7" w:rsidRPr="002629F7" w:rsidRDefault="002629F7" w:rsidP="002629F7">
      <w:pPr>
        <w:pStyle w:val="ListParagraph"/>
        <w:rPr>
          <w:rFonts w:cs="Arial"/>
          <w:b/>
          <w:bCs/>
          <w:color w:val="000000"/>
          <w:szCs w:val="24"/>
          <w:lang w:eastAsia="en-GB"/>
        </w:rPr>
      </w:pPr>
    </w:p>
    <w:p w14:paraId="1245B2C4" w14:textId="77777777" w:rsidR="002629F7" w:rsidRPr="002629F7" w:rsidRDefault="00013A0A" w:rsidP="00F2433C">
      <w:pPr>
        <w:pStyle w:val="ListParagraph"/>
        <w:numPr>
          <w:ilvl w:val="0"/>
          <w:numId w:val="61"/>
        </w:numPr>
        <w:autoSpaceDE w:val="0"/>
        <w:autoSpaceDN w:val="0"/>
        <w:adjustRightInd w:val="0"/>
        <w:ind w:left="426"/>
        <w:jc w:val="both"/>
        <w:rPr>
          <w:rFonts w:cs="Arial"/>
          <w:color w:val="000000"/>
          <w:szCs w:val="24"/>
          <w:lang w:eastAsia="en-GB"/>
        </w:rPr>
      </w:pPr>
      <w:r w:rsidRPr="002629F7">
        <w:rPr>
          <w:rFonts w:cs="Arial"/>
          <w:b/>
          <w:bCs/>
          <w:color w:val="000000"/>
          <w:szCs w:val="24"/>
          <w:lang w:eastAsia="en-GB"/>
        </w:rPr>
        <w:t xml:space="preserve">Capital Expenditure </w:t>
      </w:r>
      <w:r w:rsidRPr="002629F7">
        <w:rPr>
          <w:rFonts w:cs="Arial"/>
          <w:color w:val="000000"/>
          <w:szCs w:val="24"/>
          <w:lang w:eastAsia="en-GB"/>
        </w:rPr>
        <w:t>– spend on major items e.g. land and buildings, which adds to and not merely maintains the value of existing fixed assets</w:t>
      </w:r>
      <w:r w:rsidR="002629F7" w:rsidRPr="002629F7">
        <w:rPr>
          <w:rFonts w:cs="Arial"/>
          <w:color w:val="000000"/>
          <w:szCs w:val="24"/>
          <w:lang w:eastAsia="en-GB"/>
        </w:rPr>
        <w:t>.</w:t>
      </w:r>
    </w:p>
    <w:p w14:paraId="16E7CFDD" w14:textId="77777777" w:rsidR="002629F7" w:rsidRPr="002629F7" w:rsidRDefault="002629F7" w:rsidP="002629F7">
      <w:pPr>
        <w:pStyle w:val="ListParagraph"/>
        <w:rPr>
          <w:rFonts w:cs="Arial"/>
          <w:b/>
          <w:bCs/>
          <w:color w:val="000000"/>
          <w:szCs w:val="24"/>
          <w:lang w:eastAsia="en-GB"/>
        </w:rPr>
      </w:pPr>
    </w:p>
    <w:p w14:paraId="3390E3D8" w14:textId="77777777" w:rsidR="002629F7" w:rsidRPr="002629F7" w:rsidRDefault="00013A0A" w:rsidP="00013A0A">
      <w:pPr>
        <w:pStyle w:val="ListParagraph"/>
        <w:numPr>
          <w:ilvl w:val="0"/>
          <w:numId w:val="61"/>
        </w:numPr>
        <w:autoSpaceDE w:val="0"/>
        <w:autoSpaceDN w:val="0"/>
        <w:adjustRightInd w:val="0"/>
        <w:ind w:left="426"/>
        <w:jc w:val="both"/>
        <w:rPr>
          <w:rFonts w:cs="Arial"/>
          <w:color w:val="000000"/>
          <w:szCs w:val="24"/>
          <w:lang w:eastAsia="en-GB"/>
        </w:rPr>
      </w:pPr>
      <w:r w:rsidRPr="002629F7">
        <w:rPr>
          <w:rFonts w:cs="Arial"/>
          <w:b/>
          <w:bCs/>
          <w:color w:val="000000"/>
          <w:szCs w:val="24"/>
          <w:lang w:eastAsia="en-GB"/>
        </w:rPr>
        <w:t xml:space="preserve">Capital Grants </w:t>
      </w:r>
      <w:r w:rsidRPr="002629F7">
        <w:rPr>
          <w:rFonts w:cs="Arial"/>
          <w:color w:val="000000"/>
          <w:szCs w:val="24"/>
          <w:lang w:eastAsia="en-GB"/>
        </w:rPr>
        <w:t xml:space="preserve">– specific targeted grants to cover capital spend </w:t>
      </w:r>
    </w:p>
    <w:p w14:paraId="58819B73" w14:textId="77777777" w:rsidR="002629F7" w:rsidRPr="002629F7" w:rsidRDefault="002629F7" w:rsidP="002629F7">
      <w:pPr>
        <w:pStyle w:val="ListParagraph"/>
        <w:rPr>
          <w:rFonts w:cs="Arial"/>
          <w:b/>
          <w:bCs/>
          <w:color w:val="000000"/>
          <w:szCs w:val="24"/>
          <w:lang w:eastAsia="en-GB"/>
        </w:rPr>
      </w:pPr>
    </w:p>
    <w:p w14:paraId="243E431D" w14:textId="77777777" w:rsidR="002629F7" w:rsidRPr="002629F7" w:rsidRDefault="00013A0A" w:rsidP="00013A0A">
      <w:pPr>
        <w:pStyle w:val="ListParagraph"/>
        <w:numPr>
          <w:ilvl w:val="0"/>
          <w:numId w:val="61"/>
        </w:numPr>
        <w:autoSpaceDE w:val="0"/>
        <w:autoSpaceDN w:val="0"/>
        <w:adjustRightInd w:val="0"/>
        <w:ind w:left="426"/>
        <w:jc w:val="both"/>
        <w:rPr>
          <w:rFonts w:cs="Arial"/>
          <w:color w:val="000000"/>
          <w:szCs w:val="24"/>
          <w:lang w:eastAsia="en-GB"/>
        </w:rPr>
      </w:pPr>
      <w:r w:rsidRPr="002629F7">
        <w:rPr>
          <w:rFonts w:cs="Arial"/>
          <w:b/>
          <w:bCs/>
          <w:color w:val="000000"/>
          <w:szCs w:val="24"/>
          <w:lang w:eastAsia="en-GB"/>
        </w:rPr>
        <w:t xml:space="preserve">Capital Receipts </w:t>
      </w:r>
      <w:r w:rsidRPr="002629F7">
        <w:rPr>
          <w:rFonts w:cs="Arial"/>
          <w:color w:val="000000"/>
          <w:szCs w:val="24"/>
          <w:lang w:eastAsia="en-GB"/>
        </w:rPr>
        <w:t xml:space="preserve">– the proceeds from the disposal of land or other assets. Capital receipts can be used to fund capital expenditure but cannot be used to finance revenue. </w:t>
      </w:r>
    </w:p>
    <w:p w14:paraId="03A16856" w14:textId="77777777" w:rsidR="002629F7" w:rsidRPr="002629F7" w:rsidRDefault="002629F7" w:rsidP="002629F7">
      <w:pPr>
        <w:pStyle w:val="ListParagraph"/>
        <w:rPr>
          <w:rFonts w:cs="Arial"/>
          <w:b/>
          <w:bCs/>
          <w:color w:val="000000"/>
          <w:szCs w:val="24"/>
          <w:lang w:eastAsia="en-GB"/>
        </w:rPr>
      </w:pPr>
    </w:p>
    <w:p w14:paraId="54F5A83B" w14:textId="77777777" w:rsidR="002629F7" w:rsidRPr="002629F7" w:rsidRDefault="00013A0A" w:rsidP="00013A0A">
      <w:pPr>
        <w:pStyle w:val="ListParagraph"/>
        <w:numPr>
          <w:ilvl w:val="0"/>
          <w:numId w:val="61"/>
        </w:numPr>
        <w:autoSpaceDE w:val="0"/>
        <w:autoSpaceDN w:val="0"/>
        <w:adjustRightInd w:val="0"/>
        <w:ind w:left="426"/>
        <w:jc w:val="both"/>
        <w:rPr>
          <w:rFonts w:cs="Arial"/>
          <w:color w:val="000000"/>
          <w:szCs w:val="24"/>
          <w:lang w:eastAsia="en-GB"/>
        </w:rPr>
      </w:pPr>
      <w:r w:rsidRPr="002629F7">
        <w:rPr>
          <w:rFonts w:cs="Arial"/>
          <w:b/>
          <w:bCs/>
          <w:color w:val="000000"/>
          <w:szCs w:val="24"/>
          <w:lang w:eastAsia="en-GB"/>
        </w:rPr>
        <w:t xml:space="preserve">CIPFA </w:t>
      </w:r>
      <w:r w:rsidRPr="002629F7">
        <w:rPr>
          <w:rFonts w:cs="Arial"/>
          <w:color w:val="000000"/>
          <w:szCs w:val="24"/>
          <w:lang w:eastAsia="en-GB"/>
        </w:rPr>
        <w:t xml:space="preserve">– the Chartered Institute of Public Finance and Accountancy, is the professional body for accountants working in Local Government and other public sector organisations, also the standard setting organisation for Local Government Finance. </w:t>
      </w:r>
    </w:p>
    <w:p w14:paraId="6F43B347" w14:textId="77777777" w:rsidR="002629F7" w:rsidRPr="002629F7" w:rsidRDefault="002629F7" w:rsidP="002629F7">
      <w:pPr>
        <w:pStyle w:val="ListParagraph"/>
        <w:rPr>
          <w:rFonts w:cs="Arial"/>
          <w:b/>
          <w:bCs/>
          <w:color w:val="000000"/>
          <w:szCs w:val="24"/>
          <w:lang w:eastAsia="en-GB"/>
        </w:rPr>
      </w:pPr>
    </w:p>
    <w:p w14:paraId="4BAC0DE5" w14:textId="77777777" w:rsidR="002629F7" w:rsidRPr="002629F7" w:rsidRDefault="00013A0A" w:rsidP="00013A0A">
      <w:pPr>
        <w:pStyle w:val="ListParagraph"/>
        <w:numPr>
          <w:ilvl w:val="0"/>
          <w:numId w:val="61"/>
        </w:numPr>
        <w:autoSpaceDE w:val="0"/>
        <w:autoSpaceDN w:val="0"/>
        <w:adjustRightInd w:val="0"/>
        <w:ind w:left="426"/>
        <w:jc w:val="both"/>
        <w:rPr>
          <w:rFonts w:cs="Arial"/>
          <w:color w:val="000000"/>
          <w:szCs w:val="24"/>
          <w:lang w:eastAsia="en-GB"/>
        </w:rPr>
      </w:pPr>
      <w:r w:rsidRPr="002629F7">
        <w:rPr>
          <w:rFonts w:cs="Arial"/>
          <w:b/>
          <w:bCs/>
          <w:color w:val="000000"/>
          <w:szCs w:val="24"/>
          <w:lang w:eastAsia="en-GB"/>
        </w:rPr>
        <w:t xml:space="preserve">Counterparty </w:t>
      </w:r>
      <w:r w:rsidRPr="002629F7">
        <w:rPr>
          <w:rFonts w:cs="Arial"/>
          <w:color w:val="000000"/>
          <w:szCs w:val="24"/>
          <w:lang w:eastAsia="en-GB"/>
        </w:rPr>
        <w:t xml:space="preserve">– an institution (e.g. a bank) with whom a borrowing or investment transaction is made. </w:t>
      </w:r>
    </w:p>
    <w:p w14:paraId="229DDE30" w14:textId="77777777" w:rsidR="002629F7" w:rsidRPr="002629F7" w:rsidRDefault="002629F7" w:rsidP="002629F7">
      <w:pPr>
        <w:pStyle w:val="ListParagraph"/>
        <w:rPr>
          <w:rFonts w:cs="Arial"/>
          <w:b/>
          <w:bCs/>
          <w:color w:val="000000"/>
          <w:szCs w:val="24"/>
          <w:lang w:eastAsia="en-GB"/>
        </w:rPr>
      </w:pPr>
    </w:p>
    <w:p w14:paraId="6B659482" w14:textId="04AF1457" w:rsidR="00013A0A" w:rsidRPr="002629F7" w:rsidRDefault="00013A0A" w:rsidP="00013A0A">
      <w:pPr>
        <w:pStyle w:val="ListParagraph"/>
        <w:numPr>
          <w:ilvl w:val="0"/>
          <w:numId w:val="61"/>
        </w:numPr>
        <w:autoSpaceDE w:val="0"/>
        <w:autoSpaceDN w:val="0"/>
        <w:adjustRightInd w:val="0"/>
        <w:ind w:left="426"/>
        <w:jc w:val="both"/>
        <w:rPr>
          <w:rFonts w:cs="Arial"/>
          <w:color w:val="000000"/>
          <w:szCs w:val="24"/>
          <w:lang w:eastAsia="en-GB"/>
        </w:rPr>
      </w:pPr>
      <w:r w:rsidRPr="002629F7">
        <w:rPr>
          <w:rFonts w:cs="Arial"/>
          <w:b/>
          <w:bCs/>
          <w:color w:val="000000"/>
          <w:szCs w:val="24"/>
          <w:lang w:eastAsia="en-GB"/>
        </w:rPr>
        <w:t xml:space="preserve">Credit Rating </w:t>
      </w:r>
      <w:r w:rsidRPr="002629F7">
        <w:rPr>
          <w:rFonts w:cs="Arial"/>
          <w:color w:val="000000"/>
          <w:szCs w:val="24"/>
          <w:lang w:eastAsia="en-GB"/>
        </w:rPr>
        <w:t xml:space="preserve">– an opinion on the credit-worthiness of an institution, based on judgements about the future status of that institution. It is based on any information available regarding the institution: published results, Shareholders’ reports, reports from trading partners, and also an analysis of the environment in which the institution operates (e.g. its home economy, and its market sector). The main rating agencies are Fitch, Standard and Poor’s and Moody’s. They analyse credit worthiness under four headings: </w:t>
      </w:r>
    </w:p>
    <w:p w14:paraId="32FF4041" w14:textId="77777777" w:rsidR="00013A0A" w:rsidRPr="002629F7" w:rsidRDefault="00013A0A" w:rsidP="00013A0A">
      <w:pPr>
        <w:autoSpaceDE w:val="0"/>
        <w:autoSpaceDN w:val="0"/>
        <w:adjustRightInd w:val="0"/>
        <w:jc w:val="both"/>
        <w:rPr>
          <w:rFonts w:cs="Arial"/>
          <w:color w:val="000000"/>
          <w:szCs w:val="24"/>
          <w:lang w:eastAsia="en-GB"/>
        </w:rPr>
      </w:pPr>
    </w:p>
    <w:p w14:paraId="0550CF5D" w14:textId="77777777" w:rsidR="00013A0A" w:rsidRPr="002629F7" w:rsidRDefault="00013A0A" w:rsidP="009E715C">
      <w:pPr>
        <w:numPr>
          <w:ilvl w:val="0"/>
          <w:numId w:val="38"/>
        </w:numPr>
        <w:autoSpaceDE w:val="0"/>
        <w:autoSpaceDN w:val="0"/>
        <w:adjustRightInd w:val="0"/>
        <w:spacing w:after="21"/>
        <w:jc w:val="both"/>
        <w:rPr>
          <w:rFonts w:cs="Arial"/>
          <w:color w:val="000000"/>
          <w:szCs w:val="24"/>
          <w:lang w:eastAsia="en-GB"/>
        </w:rPr>
      </w:pPr>
      <w:r w:rsidRPr="002629F7">
        <w:rPr>
          <w:rFonts w:cs="Arial"/>
          <w:b/>
          <w:bCs/>
          <w:color w:val="000000"/>
          <w:szCs w:val="24"/>
          <w:lang w:eastAsia="en-GB"/>
        </w:rPr>
        <w:t xml:space="preserve">Short Term Rating </w:t>
      </w:r>
      <w:r w:rsidRPr="002629F7">
        <w:rPr>
          <w:rFonts w:cs="Arial"/>
          <w:color w:val="000000"/>
          <w:szCs w:val="24"/>
          <w:lang w:eastAsia="en-GB"/>
        </w:rPr>
        <w:t xml:space="preserve">– the perceived ability of the organisation to meet its obligations in the short term, this will be based on measures of liquidity. </w:t>
      </w:r>
    </w:p>
    <w:p w14:paraId="082FDCC9" w14:textId="77777777" w:rsidR="00013A0A" w:rsidRPr="002629F7" w:rsidRDefault="00013A0A" w:rsidP="009E715C">
      <w:pPr>
        <w:numPr>
          <w:ilvl w:val="0"/>
          <w:numId w:val="38"/>
        </w:numPr>
        <w:autoSpaceDE w:val="0"/>
        <w:autoSpaceDN w:val="0"/>
        <w:adjustRightInd w:val="0"/>
        <w:spacing w:after="21"/>
        <w:jc w:val="both"/>
        <w:rPr>
          <w:rFonts w:cs="Arial"/>
          <w:color w:val="000000"/>
          <w:szCs w:val="24"/>
          <w:lang w:eastAsia="en-GB"/>
        </w:rPr>
      </w:pPr>
      <w:r w:rsidRPr="002629F7">
        <w:rPr>
          <w:rFonts w:cs="Arial"/>
          <w:b/>
          <w:bCs/>
          <w:color w:val="000000"/>
          <w:szCs w:val="24"/>
          <w:lang w:eastAsia="en-GB"/>
        </w:rPr>
        <w:lastRenderedPageBreak/>
        <w:t xml:space="preserve">Long Term Rating </w:t>
      </w:r>
      <w:r w:rsidRPr="002629F7">
        <w:rPr>
          <w:rFonts w:cs="Arial"/>
          <w:color w:val="000000"/>
          <w:szCs w:val="24"/>
          <w:lang w:eastAsia="en-GB"/>
        </w:rPr>
        <w:t xml:space="preserve">– the ability of the organisation to repay its debts in the long term, based on opinions regarding future stability, e.g. its exposure to ‘risky’ markets. </w:t>
      </w:r>
    </w:p>
    <w:p w14:paraId="2F35AEC3" w14:textId="77777777" w:rsidR="00013A0A" w:rsidRPr="002629F7" w:rsidRDefault="00013A0A" w:rsidP="009E715C">
      <w:pPr>
        <w:numPr>
          <w:ilvl w:val="0"/>
          <w:numId w:val="38"/>
        </w:numPr>
        <w:autoSpaceDE w:val="0"/>
        <w:autoSpaceDN w:val="0"/>
        <w:adjustRightInd w:val="0"/>
        <w:spacing w:after="21"/>
        <w:jc w:val="both"/>
        <w:rPr>
          <w:rFonts w:cs="Arial"/>
          <w:color w:val="000000"/>
          <w:szCs w:val="24"/>
          <w:lang w:eastAsia="en-GB"/>
        </w:rPr>
      </w:pPr>
      <w:r w:rsidRPr="002629F7">
        <w:rPr>
          <w:rFonts w:cs="Arial"/>
          <w:b/>
          <w:bCs/>
          <w:color w:val="000000"/>
          <w:szCs w:val="24"/>
          <w:lang w:eastAsia="en-GB"/>
        </w:rPr>
        <w:t xml:space="preserve">Individual/Financial Strength Rating </w:t>
      </w:r>
      <w:r w:rsidRPr="002629F7">
        <w:rPr>
          <w:rFonts w:cs="Arial"/>
          <w:color w:val="000000"/>
          <w:szCs w:val="24"/>
          <w:lang w:eastAsia="en-GB"/>
        </w:rPr>
        <w:t xml:space="preserve">– a view of the likelihood, in the case of a financial institution failing, that its obligations would be met, in whole or part, by its shareholders, central bank or national government. </w:t>
      </w:r>
    </w:p>
    <w:p w14:paraId="48DC3212" w14:textId="77777777" w:rsidR="001C110D" w:rsidRDefault="00013A0A" w:rsidP="00013A0A">
      <w:pPr>
        <w:numPr>
          <w:ilvl w:val="0"/>
          <w:numId w:val="38"/>
        </w:numPr>
        <w:autoSpaceDE w:val="0"/>
        <w:autoSpaceDN w:val="0"/>
        <w:adjustRightInd w:val="0"/>
        <w:jc w:val="both"/>
        <w:rPr>
          <w:rFonts w:cs="Arial"/>
          <w:color w:val="000000"/>
          <w:szCs w:val="24"/>
          <w:lang w:eastAsia="en-GB"/>
        </w:rPr>
      </w:pPr>
      <w:r w:rsidRPr="002629F7">
        <w:rPr>
          <w:rFonts w:cs="Arial"/>
          <w:b/>
          <w:bCs/>
          <w:color w:val="000000"/>
          <w:szCs w:val="24"/>
          <w:lang w:eastAsia="en-GB"/>
        </w:rPr>
        <w:t xml:space="preserve">Legal Support Rating </w:t>
      </w:r>
      <w:r w:rsidRPr="002629F7">
        <w:rPr>
          <w:rFonts w:cs="Arial"/>
          <w:color w:val="000000"/>
          <w:szCs w:val="24"/>
          <w:lang w:eastAsia="en-GB"/>
        </w:rPr>
        <w:t xml:space="preserve">- a view of the likelihood, in the case of a financial institution failing, that its obligations would be met, in whole or part, by its shareholders, central bank, or national government. </w:t>
      </w:r>
    </w:p>
    <w:p w14:paraId="3445ADC0" w14:textId="211BF6EA" w:rsidR="002629F7" w:rsidRPr="001C110D" w:rsidRDefault="002629F7" w:rsidP="00013A0A">
      <w:pPr>
        <w:numPr>
          <w:ilvl w:val="0"/>
          <w:numId w:val="38"/>
        </w:numPr>
        <w:autoSpaceDE w:val="0"/>
        <w:autoSpaceDN w:val="0"/>
        <w:adjustRightInd w:val="0"/>
        <w:jc w:val="both"/>
        <w:rPr>
          <w:rFonts w:cs="Arial"/>
          <w:color w:val="000000"/>
          <w:szCs w:val="24"/>
          <w:lang w:eastAsia="en-GB"/>
        </w:rPr>
      </w:pPr>
      <w:r w:rsidRPr="001C110D">
        <w:rPr>
          <w:rFonts w:cs="Arial"/>
          <w:color w:val="000000"/>
          <w:szCs w:val="24"/>
          <w:lang w:eastAsia="en-GB"/>
        </w:rPr>
        <w:t>T</w:t>
      </w:r>
      <w:r w:rsidR="00013A0A" w:rsidRPr="001C110D">
        <w:rPr>
          <w:rFonts w:cs="Arial"/>
          <w:color w:val="000000"/>
          <w:szCs w:val="24"/>
          <w:lang w:eastAsia="en-GB"/>
        </w:rPr>
        <w:t>he rating agencies constantly monitor information received regarding financial institutions, and will amend the credit ratings assigned as necessary.</w:t>
      </w:r>
    </w:p>
    <w:p w14:paraId="09531A63" w14:textId="77777777" w:rsidR="002629F7" w:rsidRPr="002629F7" w:rsidRDefault="002629F7" w:rsidP="00013A0A">
      <w:pPr>
        <w:autoSpaceDE w:val="0"/>
        <w:autoSpaceDN w:val="0"/>
        <w:adjustRightInd w:val="0"/>
        <w:jc w:val="both"/>
        <w:rPr>
          <w:rFonts w:cs="Arial"/>
          <w:color w:val="000000"/>
          <w:szCs w:val="24"/>
          <w:lang w:eastAsia="en-GB"/>
        </w:rPr>
      </w:pPr>
    </w:p>
    <w:p w14:paraId="1AE60519" w14:textId="77777777" w:rsidR="002629F7" w:rsidRDefault="00013A0A" w:rsidP="00F2433C">
      <w:pPr>
        <w:pStyle w:val="ListParagraph"/>
        <w:numPr>
          <w:ilvl w:val="0"/>
          <w:numId w:val="64"/>
        </w:numPr>
        <w:autoSpaceDE w:val="0"/>
        <w:autoSpaceDN w:val="0"/>
        <w:adjustRightInd w:val="0"/>
        <w:ind w:left="426"/>
        <w:jc w:val="both"/>
        <w:rPr>
          <w:rFonts w:cs="Arial"/>
          <w:color w:val="000000"/>
          <w:szCs w:val="24"/>
          <w:lang w:eastAsia="en-GB"/>
        </w:rPr>
      </w:pPr>
      <w:r w:rsidRPr="001C110D">
        <w:rPr>
          <w:rFonts w:cs="Arial"/>
          <w:b/>
          <w:bCs/>
          <w:color w:val="000000"/>
          <w:szCs w:val="24"/>
          <w:lang w:eastAsia="en-GB"/>
        </w:rPr>
        <w:t>DMADF and the DMO</w:t>
      </w:r>
      <w:r w:rsidRPr="002629F7">
        <w:rPr>
          <w:rFonts w:cs="Arial"/>
          <w:color w:val="000000"/>
          <w:szCs w:val="24"/>
          <w:lang w:eastAsia="en-GB"/>
        </w:rPr>
        <w:t xml:space="preserve"> – The DMADF is the ‘Debt Management Account Deposit Facility’; this is highly secure fixed term deposit account with the Debt Management Office (DMO), part of Her Majesty’s Treasury.</w:t>
      </w:r>
    </w:p>
    <w:p w14:paraId="4C25B7DE" w14:textId="77777777" w:rsidR="002629F7" w:rsidRPr="002629F7" w:rsidRDefault="002629F7" w:rsidP="002629F7">
      <w:pPr>
        <w:pStyle w:val="ListParagraph"/>
        <w:autoSpaceDE w:val="0"/>
        <w:autoSpaceDN w:val="0"/>
        <w:adjustRightInd w:val="0"/>
        <w:ind w:left="426"/>
        <w:jc w:val="both"/>
        <w:rPr>
          <w:rFonts w:cs="Arial"/>
          <w:color w:val="000000"/>
          <w:szCs w:val="24"/>
          <w:lang w:eastAsia="en-GB"/>
        </w:rPr>
      </w:pPr>
    </w:p>
    <w:p w14:paraId="12CE43FF" w14:textId="77777777" w:rsidR="002629F7" w:rsidRDefault="00013A0A" w:rsidP="00F2433C">
      <w:pPr>
        <w:pStyle w:val="ListParagraph"/>
        <w:numPr>
          <w:ilvl w:val="0"/>
          <w:numId w:val="64"/>
        </w:numPr>
        <w:autoSpaceDE w:val="0"/>
        <w:autoSpaceDN w:val="0"/>
        <w:adjustRightInd w:val="0"/>
        <w:ind w:left="426"/>
        <w:jc w:val="both"/>
        <w:rPr>
          <w:rFonts w:cs="Arial"/>
          <w:color w:val="000000"/>
          <w:szCs w:val="24"/>
          <w:lang w:eastAsia="en-GB"/>
        </w:rPr>
      </w:pPr>
      <w:r w:rsidRPr="002629F7">
        <w:rPr>
          <w:rFonts w:cs="Arial"/>
          <w:b/>
          <w:bCs/>
          <w:color w:val="000000"/>
          <w:szCs w:val="24"/>
          <w:lang w:eastAsia="en-GB"/>
        </w:rPr>
        <w:t xml:space="preserve">EIP </w:t>
      </w:r>
      <w:r w:rsidRPr="002629F7">
        <w:rPr>
          <w:rFonts w:cs="Arial"/>
          <w:color w:val="000000"/>
          <w:szCs w:val="24"/>
          <w:lang w:eastAsia="en-GB"/>
        </w:rPr>
        <w:t xml:space="preserve">– Equal Instalments of Principal, a type of loan where each payment includes an equal amount in respect of loan principal is eroded, and so the total amount reduces with each instalment. </w:t>
      </w:r>
    </w:p>
    <w:p w14:paraId="0E1359FE" w14:textId="77777777" w:rsidR="002629F7" w:rsidRPr="002629F7" w:rsidRDefault="002629F7" w:rsidP="002629F7">
      <w:pPr>
        <w:pStyle w:val="ListParagraph"/>
        <w:rPr>
          <w:rFonts w:cs="Arial"/>
          <w:b/>
          <w:bCs/>
          <w:color w:val="000000"/>
          <w:szCs w:val="24"/>
          <w:lang w:eastAsia="en-GB"/>
        </w:rPr>
      </w:pPr>
    </w:p>
    <w:p w14:paraId="11BE9483" w14:textId="77777777" w:rsidR="002629F7" w:rsidRDefault="00013A0A" w:rsidP="00F2433C">
      <w:pPr>
        <w:pStyle w:val="ListParagraph"/>
        <w:numPr>
          <w:ilvl w:val="0"/>
          <w:numId w:val="64"/>
        </w:numPr>
        <w:autoSpaceDE w:val="0"/>
        <w:autoSpaceDN w:val="0"/>
        <w:adjustRightInd w:val="0"/>
        <w:ind w:left="426"/>
        <w:jc w:val="both"/>
        <w:rPr>
          <w:rFonts w:cs="Arial"/>
          <w:color w:val="000000"/>
          <w:szCs w:val="24"/>
          <w:lang w:eastAsia="en-GB"/>
        </w:rPr>
      </w:pPr>
      <w:r w:rsidRPr="002629F7">
        <w:rPr>
          <w:rFonts w:cs="Arial"/>
          <w:b/>
          <w:bCs/>
          <w:color w:val="000000"/>
          <w:szCs w:val="24"/>
          <w:lang w:eastAsia="en-GB"/>
        </w:rPr>
        <w:t xml:space="preserve">Gilts – </w:t>
      </w:r>
      <w:r w:rsidRPr="002629F7">
        <w:rPr>
          <w:rFonts w:cs="Arial"/>
          <w:color w:val="000000"/>
          <w:szCs w:val="24"/>
          <w:lang w:eastAsia="en-GB"/>
        </w:rPr>
        <w:t xml:space="preserve">the name given to bonds issued by the UK Government (i.e. the loan instrument by which the Government borrows). Gilts are issued bearing interest at a specified rate, however they are then traded on the markets like shares and their value rises or falls accordingly. The Yield on a gilt is the interest paid divided by the Market Value of that gilt, e.g. a 30 year gilt is issued in 1994 at £1, bearing interest of 8%. In 1999 the market value of the gilt is £1.45.The yield on that gilt is calculated as 8%/1.45 = 5.5%. </w:t>
      </w:r>
    </w:p>
    <w:p w14:paraId="575428A6" w14:textId="77777777" w:rsidR="002629F7" w:rsidRPr="002629F7" w:rsidRDefault="002629F7" w:rsidP="002629F7">
      <w:pPr>
        <w:pStyle w:val="ListParagraph"/>
        <w:rPr>
          <w:rFonts w:cs="Arial"/>
          <w:b/>
          <w:bCs/>
          <w:color w:val="000000"/>
          <w:szCs w:val="24"/>
          <w:lang w:eastAsia="en-GB"/>
        </w:rPr>
      </w:pPr>
    </w:p>
    <w:p w14:paraId="72519F33" w14:textId="77777777" w:rsidR="002629F7" w:rsidRDefault="00013A0A" w:rsidP="00F2433C">
      <w:pPr>
        <w:pStyle w:val="ListParagraph"/>
        <w:numPr>
          <w:ilvl w:val="0"/>
          <w:numId w:val="64"/>
        </w:numPr>
        <w:autoSpaceDE w:val="0"/>
        <w:autoSpaceDN w:val="0"/>
        <w:adjustRightInd w:val="0"/>
        <w:ind w:left="426"/>
        <w:jc w:val="both"/>
        <w:rPr>
          <w:rFonts w:cs="Arial"/>
          <w:color w:val="000000"/>
          <w:szCs w:val="24"/>
          <w:lang w:eastAsia="en-GB"/>
        </w:rPr>
      </w:pPr>
      <w:r w:rsidRPr="002629F7">
        <w:rPr>
          <w:rFonts w:cs="Arial"/>
          <w:b/>
          <w:bCs/>
          <w:color w:val="000000"/>
          <w:szCs w:val="24"/>
          <w:lang w:eastAsia="en-GB"/>
        </w:rPr>
        <w:t xml:space="preserve">Lender Option Borrower Option (LOBO) </w:t>
      </w:r>
      <w:r w:rsidRPr="002629F7">
        <w:rPr>
          <w:rFonts w:cs="Arial"/>
          <w:color w:val="000000"/>
          <w:szCs w:val="24"/>
          <w:lang w:eastAsia="en-GB"/>
        </w:rPr>
        <w:t xml:space="preserve">- LOBOs are a long term borrowing instrument commonly used by banks. It is an alternative lender option to the Government’s Public Works Loan Board. In simple terms the instrument gets its name because the lender has an option to set revised interest rates at predetermined dates, and at which point the borrower has the option to accept the revised rates or pay the debt in full without penalty. </w:t>
      </w:r>
    </w:p>
    <w:p w14:paraId="4055560C" w14:textId="77777777" w:rsidR="002629F7" w:rsidRPr="002629F7" w:rsidRDefault="002629F7" w:rsidP="002629F7">
      <w:pPr>
        <w:pStyle w:val="ListParagraph"/>
        <w:rPr>
          <w:rFonts w:cs="Arial"/>
          <w:b/>
          <w:bCs/>
          <w:color w:val="000000"/>
          <w:szCs w:val="24"/>
          <w:lang w:eastAsia="en-GB"/>
        </w:rPr>
      </w:pPr>
    </w:p>
    <w:p w14:paraId="475360ED" w14:textId="77777777" w:rsidR="002629F7" w:rsidRDefault="00013A0A" w:rsidP="00F2433C">
      <w:pPr>
        <w:pStyle w:val="ListParagraph"/>
        <w:numPr>
          <w:ilvl w:val="0"/>
          <w:numId w:val="64"/>
        </w:numPr>
        <w:autoSpaceDE w:val="0"/>
        <w:autoSpaceDN w:val="0"/>
        <w:adjustRightInd w:val="0"/>
        <w:ind w:left="426"/>
        <w:jc w:val="both"/>
        <w:rPr>
          <w:rFonts w:cs="Arial"/>
          <w:color w:val="000000"/>
          <w:szCs w:val="24"/>
          <w:lang w:eastAsia="en-GB"/>
        </w:rPr>
      </w:pPr>
      <w:r w:rsidRPr="002629F7">
        <w:rPr>
          <w:rFonts w:cs="Arial"/>
          <w:b/>
          <w:bCs/>
          <w:color w:val="000000"/>
          <w:szCs w:val="24"/>
          <w:lang w:eastAsia="en-GB"/>
        </w:rPr>
        <w:t xml:space="preserve">LIBID </w:t>
      </w:r>
      <w:r w:rsidRPr="002629F7">
        <w:rPr>
          <w:rFonts w:cs="Arial"/>
          <w:color w:val="000000"/>
          <w:szCs w:val="24"/>
          <w:lang w:eastAsia="en-GB"/>
        </w:rPr>
        <w:t xml:space="preserve">– The London Interbank Bid Rate, the rate which banks would have to bid to borrow funds from other banks for a given period. The official rate is published by the Bank of England at 11am each day based on trades up to that time. The average 7 day rate is the benchmark the Council uses for its own investment performance. </w:t>
      </w:r>
    </w:p>
    <w:p w14:paraId="64BA4221" w14:textId="77777777" w:rsidR="002629F7" w:rsidRPr="002629F7" w:rsidRDefault="002629F7" w:rsidP="002629F7">
      <w:pPr>
        <w:pStyle w:val="ListParagraph"/>
        <w:rPr>
          <w:rFonts w:cs="Arial"/>
          <w:b/>
          <w:bCs/>
          <w:color w:val="000000"/>
          <w:szCs w:val="24"/>
          <w:lang w:eastAsia="en-GB"/>
        </w:rPr>
      </w:pPr>
    </w:p>
    <w:p w14:paraId="1960FA7D" w14:textId="77777777" w:rsidR="002629F7" w:rsidRDefault="00013A0A" w:rsidP="00F2433C">
      <w:pPr>
        <w:pStyle w:val="ListParagraph"/>
        <w:numPr>
          <w:ilvl w:val="0"/>
          <w:numId w:val="64"/>
        </w:numPr>
        <w:autoSpaceDE w:val="0"/>
        <w:autoSpaceDN w:val="0"/>
        <w:adjustRightInd w:val="0"/>
        <w:ind w:left="426"/>
        <w:jc w:val="both"/>
        <w:rPr>
          <w:rFonts w:cs="Arial"/>
          <w:color w:val="000000"/>
          <w:szCs w:val="24"/>
          <w:lang w:eastAsia="en-GB"/>
        </w:rPr>
      </w:pPr>
      <w:r w:rsidRPr="002629F7">
        <w:rPr>
          <w:rFonts w:cs="Arial"/>
          <w:b/>
          <w:bCs/>
          <w:color w:val="000000"/>
          <w:szCs w:val="24"/>
          <w:lang w:eastAsia="en-GB"/>
        </w:rPr>
        <w:t xml:space="preserve">Liquidity </w:t>
      </w:r>
      <w:r w:rsidRPr="002629F7">
        <w:rPr>
          <w:rFonts w:cs="Arial"/>
          <w:color w:val="000000"/>
          <w:szCs w:val="24"/>
          <w:lang w:eastAsia="en-GB"/>
        </w:rPr>
        <w:t xml:space="preserve">– Relates to the amount of readily available, or short term, investment money which can be used for either day to day or unforeseen expenses. For example Call Accounts allow instant daily access to invested funds. </w:t>
      </w:r>
    </w:p>
    <w:p w14:paraId="38764A2E" w14:textId="77777777" w:rsidR="002629F7" w:rsidRPr="002629F7" w:rsidRDefault="002629F7" w:rsidP="002629F7">
      <w:pPr>
        <w:pStyle w:val="ListParagraph"/>
        <w:rPr>
          <w:rFonts w:cs="Arial"/>
          <w:b/>
          <w:bCs/>
          <w:color w:val="000000"/>
          <w:szCs w:val="24"/>
          <w:lang w:eastAsia="en-GB"/>
        </w:rPr>
      </w:pPr>
    </w:p>
    <w:p w14:paraId="529AE761" w14:textId="77777777" w:rsidR="002629F7" w:rsidRDefault="00013A0A" w:rsidP="00F2433C">
      <w:pPr>
        <w:pStyle w:val="ListParagraph"/>
        <w:numPr>
          <w:ilvl w:val="0"/>
          <w:numId w:val="64"/>
        </w:numPr>
        <w:autoSpaceDE w:val="0"/>
        <w:autoSpaceDN w:val="0"/>
        <w:adjustRightInd w:val="0"/>
        <w:ind w:left="426"/>
        <w:jc w:val="both"/>
        <w:rPr>
          <w:rFonts w:cs="Arial"/>
          <w:color w:val="000000"/>
          <w:szCs w:val="24"/>
          <w:lang w:eastAsia="en-GB"/>
        </w:rPr>
      </w:pPr>
      <w:r w:rsidRPr="002629F7">
        <w:rPr>
          <w:rFonts w:cs="Arial"/>
          <w:b/>
          <w:bCs/>
          <w:color w:val="000000"/>
          <w:szCs w:val="24"/>
          <w:lang w:eastAsia="en-GB"/>
        </w:rPr>
        <w:t xml:space="preserve">Market – </w:t>
      </w:r>
      <w:r w:rsidRPr="002629F7">
        <w:rPr>
          <w:rFonts w:cs="Arial"/>
          <w:color w:val="000000"/>
          <w:szCs w:val="24"/>
          <w:lang w:eastAsia="en-GB"/>
        </w:rPr>
        <w:t>The private sector institutions e.g. banks, building societies</w:t>
      </w:r>
      <w:r w:rsidR="002629F7" w:rsidRPr="002629F7">
        <w:rPr>
          <w:rFonts w:cs="Arial"/>
          <w:color w:val="000000"/>
          <w:szCs w:val="24"/>
          <w:lang w:eastAsia="en-GB"/>
        </w:rPr>
        <w:t>.</w:t>
      </w:r>
    </w:p>
    <w:p w14:paraId="1BAB45D6" w14:textId="77777777" w:rsidR="002629F7" w:rsidRPr="002629F7" w:rsidRDefault="002629F7" w:rsidP="002629F7">
      <w:pPr>
        <w:pStyle w:val="ListParagraph"/>
        <w:rPr>
          <w:rFonts w:cs="Arial"/>
          <w:b/>
          <w:bCs/>
          <w:color w:val="000000"/>
          <w:szCs w:val="24"/>
          <w:lang w:eastAsia="en-GB"/>
        </w:rPr>
      </w:pPr>
    </w:p>
    <w:p w14:paraId="68EECB9B" w14:textId="77777777" w:rsidR="002629F7" w:rsidRDefault="00013A0A" w:rsidP="00F2433C">
      <w:pPr>
        <w:pStyle w:val="ListParagraph"/>
        <w:numPr>
          <w:ilvl w:val="0"/>
          <w:numId w:val="64"/>
        </w:numPr>
        <w:autoSpaceDE w:val="0"/>
        <w:autoSpaceDN w:val="0"/>
        <w:adjustRightInd w:val="0"/>
        <w:ind w:left="426"/>
        <w:jc w:val="both"/>
        <w:rPr>
          <w:rFonts w:cs="Arial"/>
          <w:color w:val="000000"/>
          <w:szCs w:val="24"/>
          <w:lang w:eastAsia="en-GB"/>
        </w:rPr>
      </w:pPr>
      <w:r w:rsidRPr="002629F7">
        <w:rPr>
          <w:rFonts w:cs="Arial"/>
          <w:b/>
          <w:bCs/>
          <w:color w:val="000000"/>
          <w:szCs w:val="24"/>
          <w:lang w:eastAsia="en-GB"/>
        </w:rPr>
        <w:lastRenderedPageBreak/>
        <w:t xml:space="preserve">Maturity </w:t>
      </w:r>
      <w:r w:rsidRPr="002629F7">
        <w:rPr>
          <w:rFonts w:cs="Arial"/>
          <w:color w:val="000000"/>
          <w:szCs w:val="24"/>
          <w:lang w:eastAsia="en-GB"/>
        </w:rPr>
        <w:t xml:space="preserve">- Type of loan where only payments of interest are made during the life of the loan, with the total amount of principal falling due at the end of the loan period. </w:t>
      </w:r>
    </w:p>
    <w:p w14:paraId="2C05DB51" w14:textId="77777777" w:rsidR="002629F7" w:rsidRPr="002629F7" w:rsidRDefault="002629F7" w:rsidP="002629F7">
      <w:pPr>
        <w:pStyle w:val="ListParagraph"/>
        <w:rPr>
          <w:rFonts w:cs="Arial"/>
          <w:b/>
          <w:bCs/>
          <w:color w:val="000000"/>
          <w:szCs w:val="24"/>
          <w:lang w:eastAsia="en-GB"/>
        </w:rPr>
      </w:pPr>
    </w:p>
    <w:p w14:paraId="4FD6FC68" w14:textId="77777777" w:rsidR="002629F7" w:rsidRDefault="00013A0A" w:rsidP="00013A0A">
      <w:pPr>
        <w:pStyle w:val="ListParagraph"/>
        <w:numPr>
          <w:ilvl w:val="0"/>
          <w:numId w:val="64"/>
        </w:numPr>
        <w:autoSpaceDE w:val="0"/>
        <w:autoSpaceDN w:val="0"/>
        <w:adjustRightInd w:val="0"/>
        <w:ind w:left="426"/>
        <w:jc w:val="both"/>
        <w:rPr>
          <w:rFonts w:cs="Arial"/>
          <w:color w:val="000000"/>
          <w:szCs w:val="24"/>
          <w:lang w:eastAsia="en-GB"/>
        </w:rPr>
      </w:pPr>
      <w:r w:rsidRPr="002629F7">
        <w:rPr>
          <w:rFonts w:cs="Arial"/>
          <w:b/>
          <w:bCs/>
          <w:color w:val="000000"/>
          <w:szCs w:val="24"/>
          <w:lang w:eastAsia="en-GB"/>
        </w:rPr>
        <w:t xml:space="preserve">Minimum Revenue Provision (MRP) – </w:t>
      </w:r>
      <w:r w:rsidRPr="002629F7">
        <w:rPr>
          <w:rFonts w:cs="Arial"/>
          <w:color w:val="000000"/>
          <w:szCs w:val="24"/>
          <w:lang w:eastAsia="en-GB"/>
        </w:rPr>
        <w:t xml:space="preserve">A statutory amount charged to the Council’s revenue account for the provision to repay the loan principal on debt undertaken to finance the Capital Programme. For the Council this is done on a straight line basis in-line with the asset life and commences the financial year after the asset is operational. </w:t>
      </w:r>
    </w:p>
    <w:p w14:paraId="059DF4F5" w14:textId="77777777" w:rsidR="002629F7" w:rsidRPr="002629F7" w:rsidRDefault="002629F7" w:rsidP="002629F7">
      <w:pPr>
        <w:pStyle w:val="ListParagraph"/>
        <w:rPr>
          <w:rFonts w:cs="Arial"/>
          <w:b/>
          <w:bCs/>
          <w:color w:val="000000"/>
          <w:szCs w:val="24"/>
          <w:lang w:eastAsia="en-GB"/>
        </w:rPr>
      </w:pPr>
    </w:p>
    <w:p w14:paraId="1C7D06FB" w14:textId="77777777" w:rsidR="002629F7" w:rsidRDefault="00013A0A" w:rsidP="00013A0A">
      <w:pPr>
        <w:pStyle w:val="ListParagraph"/>
        <w:numPr>
          <w:ilvl w:val="0"/>
          <w:numId w:val="64"/>
        </w:numPr>
        <w:autoSpaceDE w:val="0"/>
        <w:autoSpaceDN w:val="0"/>
        <w:adjustRightInd w:val="0"/>
        <w:ind w:left="426"/>
        <w:jc w:val="both"/>
        <w:rPr>
          <w:rFonts w:cs="Arial"/>
          <w:color w:val="000000"/>
          <w:szCs w:val="24"/>
          <w:lang w:eastAsia="en-GB"/>
        </w:rPr>
      </w:pPr>
      <w:r w:rsidRPr="002629F7">
        <w:rPr>
          <w:rFonts w:cs="Arial"/>
          <w:b/>
          <w:bCs/>
          <w:color w:val="000000"/>
          <w:szCs w:val="24"/>
          <w:lang w:eastAsia="en-GB"/>
        </w:rPr>
        <w:t xml:space="preserve">Monetary Policy Committee (MPC) </w:t>
      </w:r>
      <w:r w:rsidRPr="002629F7">
        <w:rPr>
          <w:rFonts w:cs="Arial"/>
          <w:color w:val="000000"/>
          <w:szCs w:val="24"/>
          <w:lang w:eastAsia="en-GB"/>
        </w:rPr>
        <w:t xml:space="preserve">– group that sets the bank base rate for the Bank of England. </w:t>
      </w:r>
    </w:p>
    <w:p w14:paraId="0381912C" w14:textId="77777777" w:rsidR="002629F7" w:rsidRPr="002629F7" w:rsidRDefault="002629F7" w:rsidP="002629F7">
      <w:pPr>
        <w:pStyle w:val="ListParagraph"/>
        <w:rPr>
          <w:rFonts w:cs="Arial"/>
          <w:b/>
          <w:bCs/>
          <w:color w:val="000000"/>
          <w:szCs w:val="24"/>
          <w:lang w:eastAsia="en-GB"/>
        </w:rPr>
      </w:pPr>
    </w:p>
    <w:p w14:paraId="014D495E" w14:textId="77777777" w:rsidR="002629F7" w:rsidRDefault="00013A0A" w:rsidP="00013A0A">
      <w:pPr>
        <w:pStyle w:val="ListParagraph"/>
        <w:numPr>
          <w:ilvl w:val="0"/>
          <w:numId w:val="64"/>
        </w:numPr>
        <w:autoSpaceDE w:val="0"/>
        <w:autoSpaceDN w:val="0"/>
        <w:adjustRightInd w:val="0"/>
        <w:ind w:left="426"/>
        <w:jc w:val="both"/>
        <w:rPr>
          <w:rFonts w:cs="Arial"/>
          <w:color w:val="000000"/>
          <w:szCs w:val="24"/>
          <w:lang w:eastAsia="en-GB"/>
        </w:rPr>
      </w:pPr>
      <w:r w:rsidRPr="002629F7">
        <w:rPr>
          <w:rFonts w:cs="Arial"/>
          <w:b/>
          <w:bCs/>
          <w:color w:val="000000"/>
          <w:szCs w:val="24"/>
          <w:lang w:eastAsia="en-GB"/>
        </w:rPr>
        <w:t xml:space="preserve">Money Market Fund (MMF) </w:t>
      </w:r>
      <w:r w:rsidRPr="002629F7">
        <w:rPr>
          <w:rFonts w:cs="Arial"/>
          <w:color w:val="000000"/>
          <w:szCs w:val="24"/>
          <w:lang w:eastAsia="en-GB"/>
        </w:rPr>
        <w:t xml:space="preserve">– A highly diversified pooled investment vehicle whose assets mainly comprise of short term instruments. </w:t>
      </w:r>
    </w:p>
    <w:p w14:paraId="0D045A8B" w14:textId="77777777" w:rsidR="002629F7" w:rsidRPr="002629F7" w:rsidRDefault="002629F7" w:rsidP="002629F7">
      <w:pPr>
        <w:pStyle w:val="ListParagraph"/>
        <w:rPr>
          <w:rFonts w:cs="Arial"/>
          <w:b/>
          <w:bCs/>
          <w:color w:val="000000"/>
          <w:szCs w:val="24"/>
          <w:lang w:eastAsia="en-GB"/>
        </w:rPr>
      </w:pPr>
    </w:p>
    <w:p w14:paraId="61067DDE" w14:textId="77777777" w:rsidR="002629F7" w:rsidRDefault="00013A0A" w:rsidP="00013A0A">
      <w:pPr>
        <w:pStyle w:val="ListParagraph"/>
        <w:numPr>
          <w:ilvl w:val="0"/>
          <w:numId w:val="64"/>
        </w:numPr>
        <w:autoSpaceDE w:val="0"/>
        <w:autoSpaceDN w:val="0"/>
        <w:adjustRightInd w:val="0"/>
        <w:ind w:left="426"/>
        <w:jc w:val="both"/>
        <w:rPr>
          <w:rFonts w:cs="Arial"/>
          <w:color w:val="000000"/>
          <w:szCs w:val="24"/>
          <w:lang w:eastAsia="en-GB"/>
        </w:rPr>
      </w:pPr>
      <w:r w:rsidRPr="002629F7">
        <w:rPr>
          <w:rFonts w:cs="Arial"/>
          <w:b/>
          <w:bCs/>
          <w:color w:val="000000"/>
          <w:szCs w:val="24"/>
          <w:lang w:eastAsia="en-GB"/>
        </w:rPr>
        <w:t xml:space="preserve">Multilateral Development Banks (MDB) </w:t>
      </w:r>
      <w:r w:rsidRPr="002629F7">
        <w:rPr>
          <w:rFonts w:cs="Arial"/>
          <w:color w:val="000000"/>
          <w:szCs w:val="24"/>
          <w:lang w:eastAsia="en-GB"/>
        </w:rPr>
        <w:t xml:space="preserve">– these are supranational institutions set up by sovereign states, which are their shareholders (e.g. European Investment Bank). Their remits reflect the development aid and cooperation policies established by these states. </w:t>
      </w:r>
    </w:p>
    <w:p w14:paraId="51179161" w14:textId="77777777" w:rsidR="002629F7" w:rsidRPr="002629F7" w:rsidRDefault="002629F7" w:rsidP="002629F7">
      <w:pPr>
        <w:pStyle w:val="ListParagraph"/>
        <w:rPr>
          <w:rFonts w:cs="Arial"/>
          <w:b/>
          <w:bCs/>
          <w:color w:val="000000"/>
          <w:szCs w:val="24"/>
          <w:lang w:eastAsia="en-GB"/>
        </w:rPr>
      </w:pPr>
    </w:p>
    <w:p w14:paraId="3CC317E7" w14:textId="77777777" w:rsidR="002629F7" w:rsidRDefault="00013A0A" w:rsidP="002629F7">
      <w:pPr>
        <w:pStyle w:val="ListParagraph"/>
        <w:numPr>
          <w:ilvl w:val="0"/>
          <w:numId w:val="64"/>
        </w:numPr>
        <w:autoSpaceDE w:val="0"/>
        <w:autoSpaceDN w:val="0"/>
        <w:adjustRightInd w:val="0"/>
        <w:ind w:left="426"/>
        <w:jc w:val="both"/>
        <w:rPr>
          <w:rFonts w:cs="Arial"/>
          <w:color w:val="000000"/>
          <w:szCs w:val="24"/>
          <w:lang w:eastAsia="en-GB"/>
        </w:rPr>
      </w:pPr>
      <w:r w:rsidRPr="002629F7">
        <w:rPr>
          <w:rFonts w:cs="Arial"/>
          <w:b/>
          <w:bCs/>
          <w:color w:val="000000"/>
          <w:szCs w:val="24"/>
          <w:lang w:eastAsia="en-GB"/>
        </w:rPr>
        <w:t xml:space="preserve">Policy and Strategy Documents </w:t>
      </w:r>
      <w:r w:rsidRPr="002629F7">
        <w:rPr>
          <w:rFonts w:cs="Arial"/>
          <w:color w:val="000000"/>
          <w:szCs w:val="24"/>
          <w:lang w:eastAsia="en-GB"/>
        </w:rPr>
        <w:t xml:space="preserve">– Documents required by the CIPFA Code of Practice on Treasury Management in Local Authorities. These set out the framework for treasury management operations during the year. </w:t>
      </w:r>
    </w:p>
    <w:p w14:paraId="2378C62C" w14:textId="77777777" w:rsidR="002629F7" w:rsidRPr="002629F7" w:rsidRDefault="002629F7" w:rsidP="002629F7">
      <w:pPr>
        <w:pStyle w:val="ListParagraph"/>
        <w:rPr>
          <w:rFonts w:cs="Arial"/>
          <w:b/>
          <w:bCs/>
          <w:color w:val="000000"/>
          <w:szCs w:val="24"/>
          <w:lang w:eastAsia="en-GB"/>
        </w:rPr>
      </w:pPr>
    </w:p>
    <w:p w14:paraId="095BC217" w14:textId="77777777" w:rsidR="002629F7" w:rsidRDefault="00013A0A" w:rsidP="00013A0A">
      <w:pPr>
        <w:pStyle w:val="ListParagraph"/>
        <w:numPr>
          <w:ilvl w:val="0"/>
          <w:numId w:val="64"/>
        </w:numPr>
        <w:autoSpaceDE w:val="0"/>
        <w:autoSpaceDN w:val="0"/>
        <w:adjustRightInd w:val="0"/>
        <w:ind w:left="426"/>
        <w:jc w:val="both"/>
        <w:rPr>
          <w:rFonts w:cs="Arial"/>
          <w:color w:val="000000"/>
          <w:szCs w:val="24"/>
          <w:lang w:eastAsia="en-GB"/>
        </w:rPr>
      </w:pPr>
      <w:r w:rsidRPr="002629F7">
        <w:rPr>
          <w:rFonts w:cs="Arial"/>
          <w:b/>
          <w:bCs/>
          <w:color w:val="000000"/>
          <w:szCs w:val="24"/>
          <w:lang w:eastAsia="en-GB"/>
        </w:rPr>
        <w:t xml:space="preserve">Public Works Loans Board (PWLB) </w:t>
      </w:r>
      <w:r w:rsidRPr="002629F7">
        <w:rPr>
          <w:rFonts w:cs="Arial"/>
          <w:color w:val="000000"/>
          <w:szCs w:val="24"/>
          <w:lang w:eastAsia="en-GB"/>
        </w:rPr>
        <w:t xml:space="preserve">– a central government agency providing long and short term loans to Local Authorities. Rates are set daily at a margin over the Gilt yield (see Gilts above). Loans may be taken at fixed or variable rates and as an Annuity, Maturity, or EIP loans (see separate definitions) over periods of up to fifty years. Financing is also available from the money markets, however because of its nature the PWLB is generally able to offer better terms. </w:t>
      </w:r>
    </w:p>
    <w:p w14:paraId="2031AB39" w14:textId="77777777" w:rsidR="002629F7" w:rsidRPr="002629F7" w:rsidRDefault="002629F7" w:rsidP="002629F7">
      <w:pPr>
        <w:pStyle w:val="ListParagraph"/>
        <w:rPr>
          <w:rFonts w:cs="Arial"/>
          <w:b/>
          <w:bCs/>
          <w:color w:val="000000"/>
          <w:szCs w:val="24"/>
          <w:lang w:eastAsia="en-GB"/>
        </w:rPr>
      </w:pPr>
    </w:p>
    <w:p w14:paraId="05B11885" w14:textId="16244AF1" w:rsidR="00013A0A" w:rsidRPr="002629F7" w:rsidRDefault="00013A0A" w:rsidP="00013A0A">
      <w:pPr>
        <w:pStyle w:val="ListParagraph"/>
        <w:numPr>
          <w:ilvl w:val="0"/>
          <w:numId w:val="64"/>
        </w:numPr>
        <w:autoSpaceDE w:val="0"/>
        <w:autoSpaceDN w:val="0"/>
        <w:adjustRightInd w:val="0"/>
        <w:ind w:left="426"/>
        <w:jc w:val="both"/>
        <w:rPr>
          <w:rFonts w:cs="Arial"/>
          <w:color w:val="000000"/>
          <w:szCs w:val="24"/>
          <w:lang w:eastAsia="en-GB"/>
        </w:rPr>
      </w:pPr>
      <w:r w:rsidRPr="002629F7">
        <w:rPr>
          <w:rFonts w:cs="Arial"/>
          <w:b/>
          <w:bCs/>
          <w:color w:val="000000"/>
          <w:szCs w:val="24"/>
          <w:lang w:eastAsia="en-GB"/>
        </w:rPr>
        <w:t xml:space="preserve">Yield </w:t>
      </w:r>
      <w:r w:rsidRPr="002629F7">
        <w:rPr>
          <w:rFonts w:cs="Arial"/>
          <w:color w:val="000000"/>
          <w:szCs w:val="24"/>
          <w:lang w:eastAsia="en-GB"/>
        </w:rPr>
        <w:t>– The amount in cash (in percentage terms) that returns to the owners of an investment e.g. interest earned from a deposit.</w:t>
      </w:r>
    </w:p>
    <w:p w14:paraId="7606543F" w14:textId="77777777" w:rsidR="00013A0A" w:rsidRPr="002629F7" w:rsidRDefault="00013A0A" w:rsidP="00013A0A">
      <w:pPr>
        <w:jc w:val="both"/>
        <w:rPr>
          <w:rFonts w:cs="Arial"/>
          <w:szCs w:val="24"/>
        </w:rPr>
      </w:pPr>
    </w:p>
    <w:p w14:paraId="67E49D9F" w14:textId="6BDADBFC" w:rsidR="00256201" w:rsidRPr="002629F7" w:rsidRDefault="00256201" w:rsidP="00C94622">
      <w:pPr>
        <w:ind w:left="561"/>
        <w:jc w:val="both"/>
        <w:rPr>
          <w:szCs w:val="24"/>
        </w:rPr>
      </w:pPr>
    </w:p>
    <w:p w14:paraId="675DADF8" w14:textId="77777777" w:rsidR="00C94622" w:rsidRPr="002629F7" w:rsidRDefault="00C94622" w:rsidP="00C94622">
      <w:pPr>
        <w:ind w:left="561"/>
        <w:jc w:val="both"/>
        <w:rPr>
          <w:szCs w:val="24"/>
        </w:rPr>
      </w:pPr>
    </w:p>
    <w:sectPr w:rsidR="00C94622" w:rsidRPr="002629F7" w:rsidSect="0018443E">
      <w:pgSz w:w="11909" w:h="16834" w:code="9"/>
      <w:pgMar w:top="720" w:right="1797" w:bottom="1440" w:left="1797"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A9F80" w14:textId="77777777" w:rsidR="0081234A" w:rsidRDefault="0081234A">
      <w:r>
        <w:separator/>
      </w:r>
    </w:p>
  </w:endnote>
  <w:endnote w:type="continuationSeparator" w:id="0">
    <w:p w14:paraId="0FC42C63" w14:textId="77777777" w:rsidR="0081234A" w:rsidRDefault="0081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liss 2 Light">
    <w:altName w:val="Bliss 2 Light"/>
    <w:panose1 w:val="00000000000000000000"/>
    <w:charset w:val="00"/>
    <w:family w:val="swiss"/>
    <w:notTrueType/>
    <w:pitch w:val="default"/>
    <w:sig w:usb0="00000003" w:usb1="00000000" w:usb2="00000000" w:usb3="00000000" w:csb0="00000001" w:csb1="00000000"/>
  </w:font>
  <w:font w:name="CPAFB D+ Optima">
    <w:altName w:val="Calibri"/>
    <w:panose1 w:val="00000000000000000000"/>
    <w:charset w:val="00"/>
    <w:family w:val="swiss"/>
    <w:notTrueType/>
    <w:pitch w:val="default"/>
    <w:sig w:usb0="00000003" w:usb1="00000000" w:usb2="00000000" w:usb3="00000000" w:csb0="00000001" w:csb1="00000000"/>
  </w:font>
  <w:font w:name="Foundry Sans">
    <w:altName w:val="Bell MT"/>
    <w:charset w:val="00"/>
    <w:family w:val="auto"/>
    <w:pitch w:val="variable"/>
    <w:sig w:usb0="800000A7" w:usb1="00000040" w:usb2="00000000" w:usb3="00000000" w:csb0="00000001" w:csb1="00000000"/>
  </w:font>
  <w:font w:name="Bliss 2 Regular">
    <w:altName w:val="Franklin Gothic Medium Cond"/>
    <w:panose1 w:val="00000000000000000000"/>
    <w:charset w:val="00"/>
    <w:family w:val="modern"/>
    <w:notTrueType/>
    <w:pitch w:val="variable"/>
    <w:sig w:usb0="A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0F908" w14:textId="13C8C654" w:rsidR="0081234A" w:rsidRDefault="0081234A">
    <w:pPr>
      <w:pStyle w:val="Footer"/>
      <w:jc w:val="center"/>
    </w:pPr>
  </w:p>
  <w:p w14:paraId="281E6C64" w14:textId="77777777" w:rsidR="0081234A" w:rsidRDefault="00812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39D38" w14:textId="77777777" w:rsidR="0081234A" w:rsidRDefault="0081234A">
      <w:r>
        <w:separator/>
      </w:r>
    </w:p>
  </w:footnote>
  <w:footnote w:type="continuationSeparator" w:id="0">
    <w:p w14:paraId="411C0A17" w14:textId="77777777" w:rsidR="0081234A" w:rsidRDefault="00812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C7CC246"/>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F57EAE8C"/>
    <w:lvl w:ilvl="0">
      <w:numFmt w:val="decimal"/>
      <w:lvlText w:val="*"/>
      <w:lvlJc w:val="left"/>
      <w:rPr>
        <w:rFonts w:cs="Times New Roman"/>
      </w:rPr>
    </w:lvl>
  </w:abstractNum>
  <w:abstractNum w:abstractNumId="2" w15:restartNumberingAfterBreak="0">
    <w:nsid w:val="00905271"/>
    <w:multiLevelType w:val="hybridMultilevel"/>
    <w:tmpl w:val="1310A14A"/>
    <w:lvl w:ilvl="0" w:tplc="08090001">
      <w:start w:val="1"/>
      <w:numFmt w:val="bullet"/>
      <w:lvlText w:val=""/>
      <w:lvlJc w:val="left"/>
      <w:pPr>
        <w:ind w:left="1013" w:hanging="360"/>
      </w:pPr>
      <w:rPr>
        <w:rFonts w:ascii="Symbol" w:hAnsi="Symbol" w:hint="default"/>
      </w:rPr>
    </w:lvl>
    <w:lvl w:ilvl="1" w:tplc="08090003" w:tentative="1">
      <w:start w:val="1"/>
      <w:numFmt w:val="bullet"/>
      <w:lvlText w:val="o"/>
      <w:lvlJc w:val="left"/>
      <w:pPr>
        <w:ind w:left="1733" w:hanging="360"/>
      </w:pPr>
      <w:rPr>
        <w:rFonts w:ascii="Courier New" w:hAnsi="Courier New" w:cs="Courier New" w:hint="default"/>
      </w:rPr>
    </w:lvl>
    <w:lvl w:ilvl="2" w:tplc="08090005" w:tentative="1">
      <w:start w:val="1"/>
      <w:numFmt w:val="bullet"/>
      <w:lvlText w:val=""/>
      <w:lvlJc w:val="left"/>
      <w:pPr>
        <w:ind w:left="2453" w:hanging="360"/>
      </w:pPr>
      <w:rPr>
        <w:rFonts w:ascii="Wingdings" w:hAnsi="Wingdings" w:hint="default"/>
      </w:rPr>
    </w:lvl>
    <w:lvl w:ilvl="3" w:tplc="08090001" w:tentative="1">
      <w:start w:val="1"/>
      <w:numFmt w:val="bullet"/>
      <w:lvlText w:val=""/>
      <w:lvlJc w:val="left"/>
      <w:pPr>
        <w:ind w:left="3173" w:hanging="360"/>
      </w:pPr>
      <w:rPr>
        <w:rFonts w:ascii="Symbol" w:hAnsi="Symbol" w:hint="default"/>
      </w:rPr>
    </w:lvl>
    <w:lvl w:ilvl="4" w:tplc="08090003" w:tentative="1">
      <w:start w:val="1"/>
      <w:numFmt w:val="bullet"/>
      <w:lvlText w:val="o"/>
      <w:lvlJc w:val="left"/>
      <w:pPr>
        <w:ind w:left="3893" w:hanging="360"/>
      </w:pPr>
      <w:rPr>
        <w:rFonts w:ascii="Courier New" w:hAnsi="Courier New" w:cs="Courier New" w:hint="default"/>
      </w:rPr>
    </w:lvl>
    <w:lvl w:ilvl="5" w:tplc="08090005" w:tentative="1">
      <w:start w:val="1"/>
      <w:numFmt w:val="bullet"/>
      <w:lvlText w:val=""/>
      <w:lvlJc w:val="left"/>
      <w:pPr>
        <w:ind w:left="4613" w:hanging="360"/>
      </w:pPr>
      <w:rPr>
        <w:rFonts w:ascii="Wingdings" w:hAnsi="Wingdings" w:hint="default"/>
      </w:rPr>
    </w:lvl>
    <w:lvl w:ilvl="6" w:tplc="08090001" w:tentative="1">
      <w:start w:val="1"/>
      <w:numFmt w:val="bullet"/>
      <w:lvlText w:val=""/>
      <w:lvlJc w:val="left"/>
      <w:pPr>
        <w:ind w:left="5333" w:hanging="360"/>
      </w:pPr>
      <w:rPr>
        <w:rFonts w:ascii="Symbol" w:hAnsi="Symbol" w:hint="default"/>
      </w:rPr>
    </w:lvl>
    <w:lvl w:ilvl="7" w:tplc="08090003" w:tentative="1">
      <w:start w:val="1"/>
      <w:numFmt w:val="bullet"/>
      <w:lvlText w:val="o"/>
      <w:lvlJc w:val="left"/>
      <w:pPr>
        <w:ind w:left="6053" w:hanging="360"/>
      </w:pPr>
      <w:rPr>
        <w:rFonts w:ascii="Courier New" w:hAnsi="Courier New" w:cs="Courier New" w:hint="default"/>
      </w:rPr>
    </w:lvl>
    <w:lvl w:ilvl="8" w:tplc="08090005" w:tentative="1">
      <w:start w:val="1"/>
      <w:numFmt w:val="bullet"/>
      <w:lvlText w:val=""/>
      <w:lvlJc w:val="left"/>
      <w:pPr>
        <w:ind w:left="6773" w:hanging="360"/>
      </w:pPr>
      <w:rPr>
        <w:rFonts w:ascii="Wingdings" w:hAnsi="Wingdings" w:hint="default"/>
      </w:rPr>
    </w:lvl>
  </w:abstractNum>
  <w:abstractNum w:abstractNumId="3" w15:restartNumberingAfterBreak="0">
    <w:nsid w:val="00A3209E"/>
    <w:multiLevelType w:val="multilevel"/>
    <w:tmpl w:val="0F5A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A0D46"/>
    <w:multiLevelType w:val="hybridMultilevel"/>
    <w:tmpl w:val="C9B2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87077E"/>
    <w:multiLevelType w:val="hybridMultilevel"/>
    <w:tmpl w:val="2E20D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AB61AC5"/>
    <w:multiLevelType w:val="multilevel"/>
    <w:tmpl w:val="6AB881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6E429B"/>
    <w:multiLevelType w:val="hybridMultilevel"/>
    <w:tmpl w:val="74E2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4282F"/>
    <w:multiLevelType w:val="hybridMultilevel"/>
    <w:tmpl w:val="8136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5B7003"/>
    <w:multiLevelType w:val="hybridMultilevel"/>
    <w:tmpl w:val="DDAE11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37999"/>
    <w:multiLevelType w:val="hybridMultilevel"/>
    <w:tmpl w:val="F7F4E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FF2BC6"/>
    <w:multiLevelType w:val="hybridMultilevel"/>
    <w:tmpl w:val="09EAC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3167EC"/>
    <w:multiLevelType w:val="hybridMultilevel"/>
    <w:tmpl w:val="FD623014"/>
    <w:lvl w:ilvl="0" w:tplc="EE4097F2">
      <w:start w:val="1"/>
      <w:numFmt w:val="decimal"/>
      <w:lvlText w:val="%1."/>
      <w:lvlJc w:val="left"/>
      <w:pPr>
        <w:tabs>
          <w:tab w:val="num" w:pos="502"/>
        </w:tabs>
        <w:ind w:left="502" w:hanging="360"/>
      </w:pPr>
      <w:rPr>
        <w:rFonts w:cs="Times New Roman" w:hint="default"/>
        <w:b w:val="0"/>
        <w:i w:val="0"/>
        <w:color w:val="auto"/>
        <w:sz w:val="24"/>
        <w:szCs w:val="24"/>
      </w:rPr>
    </w:lvl>
    <w:lvl w:ilvl="1" w:tplc="918AD572">
      <w:start w:val="1"/>
      <w:numFmt w:val="bullet"/>
      <w:lvlText w:val=""/>
      <w:lvlJc w:val="left"/>
      <w:pPr>
        <w:tabs>
          <w:tab w:val="num" w:pos="1440"/>
        </w:tabs>
        <w:ind w:left="1440" w:hanging="360"/>
      </w:pPr>
      <w:rPr>
        <w:rFonts w:ascii="Symbol" w:hAnsi="Symbol" w:hint="default"/>
        <w:b w:val="0"/>
      </w:rPr>
    </w:lvl>
    <w:lvl w:ilvl="2" w:tplc="B166380C">
      <w:start w:val="1"/>
      <w:numFmt w:val="decimal"/>
      <w:lvlText w:val="%3."/>
      <w:lvlJc w:val="left"/>
      <w:pPr>
        <w:tabs>
          <w:tab w:val="num" w:pos="720"/>
        </w:tabs>
        <w:ind w:left="720" w:hanging="360"/>
      </w:pPr>
      <w:rPr>
        <w:rFonts w:cs="Times New Roman" w:hint="default"/>
        <w:b w:val="0"/>
        <w:i w:val="0"/>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CAC1BE0"/>
    <w:multiLevelType w:val="multilevel"/>
    <w:tmpl w:val="326CAD8E"/>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E1593B"/>
    <w:multiLevelType w:val="hybridMultilevel"/>
    <w:tmpl w:val="45A68612"/>
    <w:lvl w:ilvl="0" w:tplc="67FCB50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032320"/>
    <w:multiLevelType w:val="hybridMultilevel"/>
    <w:tmpl w:val="B9F80FEE"/>
    <w:lvl w:ilvl="0" w:tplc="664CD2CE">
      <w:start w:val="1"/>
      <w:numFmt w:val="decimal"/>
      <w:lvlText w:val="%1."/>
      <w:lvlJc w:val="left"/>
      <w:pPr>
        <w:ind w:left="720" w:hanging="435"/>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6" w15:restartNumberingAfterBreak="0">
    <w:nsid w:val="213D62B8"/>
    <w:multiLevelType w:val="hybridMultilevel"/>
    <w:tmpl w:val="E1446A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6E37DF0"/>
    <w:multiLevelType w:val="multilevel"/>
    <w:tmpl w:val="288CE8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99464E"/>
    <w:multiLevelType w:val="hybridMultilevel"/>
    <w:tmpl w:val="EFCA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79688F"/>
    <w:multiLevelType w:val="multilevel"/>
    <w:tmpl w:val="0C2C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7B54C7"/>
    <w:multiLevelType w:val="hybridMultilevel"/>
    <w:tmpl w:val="5F28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2956FA"/>
    <w:multiLevelType w:val="hybridMultilevel"/>
    <w:tmpl w:val="157A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5C5088"/>
    <w:multiLevelType w:val="multilevel"/>
    <w:tmpl w:val="6A52466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844AAB"/>
    <w:multiLevelType w:val="hybridMultilevel"/>
    <w:tmpl w:val="92180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2E66EAA"/>
    <w:multiLevelType w:val="hybridMultilevel"/>
    <w:tmpl w:val="89AC0E14"/>
    <w:lvl w:ilvl="0" w:tplc="DFEE6D38">
      <w:start w:val="1"/>
      <w:numFmt w:val="lowerLetter"/>
      <w:lvlText w:val="(%1)"/>
      <w:lvlJc w:val="left"/>
      <w:pPr>
        <w:tabs>
          <w:tab w:val="num" w:pos="1134"/>
        </w:tabs>
        <w:ind w:left="1134" w:hanging="567"/>
      </w:pPr>
      <w:rPr>
        <w:rFonts w:hint="default"/>
      </w:rPr>
    </w:lvl>
    <w:lvl w:ilvl="1" w:tplc="08090001">
      <w:start w:val="1"/>
      <w:numFmt w:val="bullet"/>
      <w:lvlText w:val=""/>
      <w:lvlJc w:val="left"/>
      <w:pPr>
        <w:tabs>
          <w:tab w:val="num" w:pos="1287"/>
        </w:tabs>
        <w:ind w:left="1287" w:hanging="360"/>
      </w:pPr>
      <w:rPr>
        <w:rFonts w:ascii="Symbol" w:hAnsi="Symbol" w:hint="default"/>
      </w:rPr>
    </w:lvl>
    <w:lvl w:ilvl="2" w:tplc="D17AAF6A">
      <w:start w:val="1"/>
      <w:numFmt w:val="bullet"/>
      <w:lvlText w:val=""/>
      <w:lvlJc w:val="left"/>
      <w:pPr>
        <w:tabs>
          <w:tab w:val="num" w:pos="1134"/>
        </w:tabs>
        <w:ind w:left="1134" w:hanging="567"/>
      </w:pPr>
      <w:rPr>
        <w:rFonts w:ascii="Symbol" w:hAnsi="Symbol" w:hint="default"/>
      </w:rPr>
    </w:lvl>
    <w:lvl w:ilvl="3" w:tplc="798C8972">
      <w:start w:val="1"/>
      <w:numFmt w:val="lowerLetter"/>
      <w:lvlText w:val="%4)"/>
      <w:lvlJc w:val="left"/>
      <w:pPr>
        <w:tabs>
          <w:tab w:val="num" w:pos="1134"/>
        </w:tabs>
        <w:ind w:left="1134" w:hanging="567"/>
      </w:pPr>
      <w:rPr>
        <w:rFonts w:hint="default"/>
      </w:rPr>
    </w:lvl>
    <w:lvl w:ilvl="4" w:tplc="EA287D7A">
      <w:start w:val="23"/>
      <w:numFmt w:val="decimal"/>
      <w:lvlText w:val="%5."/>
      <w:lvlJc w:val="left"/>
      <w:pPr>
        <w:tabs>
          <w:tab w:val="num" w:pos="567"/>
        </w:tabs>
        <w:ind w:left="567" w:hanging="567"/>
      </w:pPr>
      <w:rPr>
        <w:rFonts w:hint="default"/>
      </w:rPr>
    </w:lvl>
    <w:lvl w:ilvl="5" w:tplc="4330D7A2">
      <w:start w:val="1"/>
      <w:numFmt w:val="bullet"/>
      <w:lvlText w:val=""/>
      <w:lvlJc w:val="left"/>
      <w:pPr>
        <w:tabs>
          <w:tab w:val="num" w:pos="1134"/>
        </w:tabs>
        <w:ind w:left="1134" w:hanging="567"/>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7E7C37"/>
    <w:multiLevelType w:val="multilevel"/>
    <w:tmpl w:val="5128EF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B42887"/>
    <w:multiLevelType w:val="hybridMultilevel"/>
    <w:tmpl w:val="3F588E5A"/>
    <w:lvl w:ilvl="0" w:tplc="08090001">
      <w:start w:val="1"/>
      <w:numFmt w:val="bullet"/>
      <w:lvlText w:val=""/>
      <w:lvlJc w:val="left"/>
      <w:pPr>
        <w:tabs>
          <w:tab w:val="num" w:pos="1287"/>
        </w:tabs>
        <w:ind w:left="1287" w:hanging="360"/>
      </w:pPr>
      <w:rPr>
        <w:rFonts w:ascii="Symbol" w:hAnsi="Symbol" w:hint="default"/>
      </w:rPr>
    </w:lvl>
    <w:lvl w:ilvl="1" w:tplc="08090001">
      <w:start w:val="1"/>
      <w:numFmt w:val="bullet"/>
      <w:lvlText w:val=""/>
      <w:lvlJc w:val="left"/>
      <w:pPr>
        <w:tabs>
          <w:tab w:val="num" w:pos="1287"/>
        </w:tabs>
        <w:ind w:left="1287" w:hanging="360"/>
      </w:pPr>
      <w:rPr>
        <w:rFonts w:ascii="Symbol" w:hAnsi="Symbo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37A86152"/>
    <w:multiLevelType w:val="hybridMultilevel"/>
    <w:tmpl w:val="C20E1FCC"/>
    <w:lvl w:ilvl="0" w:tplc="29CCC330">
      <w:start w:val="1"/>
      <w:numFmt w:val="lowerLetter"/>
      <w:lvlText w:val="%1."/>
      <w:lvlJc w:val="left"/>
      <w:pPr>
        <w:ind w:left="1080" w:hanging="360"/>
      </w:pPr>
      <w:rPr>
        <w:rFonts w:ascii="Arial" w:eastAsia="Times New Roman" w:hAnsi="Arial" w:cs="Arial"/>
      </w:rPr>
    </w:lvl>
    <w:lvl w:ilvl="1" w:tplc="541AFCAC">
      <w:numFmt w:val="bullet"/>
      <w:lvlText w:val=""/>
      <w:lvlJc w:val="left"/>
      <w:pPr>
        <w:ind w:left="1800" w:hanging="360"/>
      </w:pPr>
      <w:rPr>
        <w:rFonts w:ascii="Arial" w:eastAsia="Calibri"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862542A"/>
    <w:multiLevelType w:val="multilevel"/>
    <w:tmpl w:val="0EB8E3F0"/>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BD50EC8"/>
    <w:multiLevelType w:val="hybridMultilevel"/>
    <w:tmpl w:val="A848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C82CA9"/>
    <w:multiLevelType w:val="hybridMultilevel"/>
    <w:tmpl w:val="49CEB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7B0203"/>
    <w:multiLevelType w:val="multilevel"/>
    <w:tmpl w:val="9D60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727385"/>
    <w:multiLevelType w:val="hybridMultilevel"/>
    <w:tmpl w:val="3A8C5B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45A04196"/>
    <w:multiLevelType w:val="multilevel"/>
    <w:tmpl w:val="A358FE96"/>
    <w:lvl w:ilvl="0">
      <w:start w:val="1"/>
      <w:numFmt w:val="decimal"/>
      <w:pStyle w:val="ChapterHeading"/>
      <w:lvlText w:val="%1"/>
      <w:lvlJc w:val="left"/>
      <w:pPr>
        <w:ind w:left="360" w:hanging="360"/>
      </w:pPr>
      <w:rPr>
        <w:rFonts w:cs="Times New Roman" w:hint="default"/>
        <w:b/>
        <w:color w:val="auto"/>
      </w:rPr>
    </w:lvl>
    <w:lvl w:ilvl="1">
      <w:start w:val="1"/>
      <w:numFmt w:val="decimal"/>
      <w:pStyle w:val="Subheading"/>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5" w15:restartNumberingAfterBreak="0">
    <w:nsid w:val="46351253"/>
    <w:multiLevelType w:val="hybridMultilevel"/>
    <w:tmpl w:val="61B6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7A6F18"/>
    <w:multiLevelType w:val="hybridMultilevel"/>
    <w:tmpl w:val="95127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FE794C"/>
    <w:multiLevelType w:val="hybridMultilevel"/>
    <w:tmpl w:val="52CE4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4AC93F82"/>
    <w:multiLevelType w:val="multilevel"/>
    <w:tmpl w:val="5F965E38"/>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B5954C0"/>
    <w:multiLevelType w:val="hybridMultilevel"/>
    <w:tmpl w:val="6F629F3E"/>
    <w:lvl w:ilvl="0" w:tplc="DFEE6D38">
      <w:start w:val="1"/>
      <w:numFmt w:val="lowerLetter"/>
      <w:lvlText w:val="(%1)"/>
      <w:lvlJc w:val="left"/>
      <w:pPr>
        <w:tabs>
          <w:tab w:val="num" w:pos="1134"/>
        </w:tabs>
        <w:ind w:left="1134" w:hanging="567"/>
      </w:pPr>
      <w:rPr>
        <w:rFonts w:hint="default"/>
      </w:rPr>
    </w:lvl>
    <w:lvl w:ilvl="1" w:tplc="08090001">
      <w:start w:val="1"/>
      <w:numFmt w:val="bullet"/>
      <w:lvlText w:val=""/>
      <w:lvlJc w:val="left"/>
      <w:pPr>
        <w:tabs>
          <w:tab w:val="num" w:pos="1287"/>
        </w:tabs>
        <w:ind w:left="1287" w:hanging="360"/>
      </w:pPr>
      <w:rPr>
        <w:rFonts w:ascii="Symbol" w:hAnsi="Symbol" w:hint="default"/>
      </w:rPr>
    </w:lvl>
    <w:lvl w:ilvl="2" w:tplc="D17AAF6A">
      <w:start w:val="1"/>
      <w:numFmt w:val="bullet"/>
      <w:lvlText w:val=""/>
      <w:lvlJc w:val="left"/>
      <w:pPr>
        <w:tabs>
          <w:tab w:val="num" w:pos="1134"/>
        </w:tabs>
        <w:ind w:left="1134" w:hanging="567"/>
      </w:pPr>
      <w:rPr>
        <w:rFonts w:ascii="Symbol" w:hAnsi="Symbol" w:hint="default"/>
      </w:rPr>
    </w:lvl>
    <w:lvl w:ilvl="3" w:tplc="798C8972">
      <w:start w:val="1"/>
      <w:numFmt w:val="lowerLetter"/>
      <w:lvlText w:val="%4)"/>
      <w:lvlJc w:val="left"/>
      <w:pPr>
        <w:tabs>
          <w:tab w:val="num" w:pos="1134"/>
        </w:tabs>
        <w:ind w:left="1134" w:hanging="567"/>
      </w:pPr>
      <w:rPr>
        <w:rFonts w:hint="default"/>
      </w:rPr>
    </w:lvl>
    <w:lvl w:ilvl="4" w:tplc="934094DC">
      <w:start w:val="23"/>
      <w:numFmt w:val="decimal"/>
      <w:lvlText w:val="%5."/>
      <w:lvlJc w:val="left"/>
      <w:pPr>
        <w:tabs>
          <w:tab w:val="num" w:pos="567"/>
        </w:tabs>
        <w:ind w:left="567" w:hanging="567"/>
      </w:pPr>
      <w:rPr>
        <w:rFonts w:hint="default"/>
        <w:b/>
      </w:rPr>
    </w:lvl>
    <w:lvl w:ilvl="5" w:tplc="4330D7A2">
      <w:start w:val="1"/>
      <w:numFmt w:val="bullet"/>
      <w:lvlText w:val=""/>
      <w:lvlJc w:val="left"/>
      <w:pPr>
        <w:tabs>
          <w:tab w:val="num" w:pos="1134"/>
        </w:tabs>
        <w:ind w:left="1134" w:hanging="567"/>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BD202DA"/>
    <w:multiLevelType w:val="hybridMultilevel"/>
    <w:tmpl w:val="F0521E44"/>
    <w:lvl w:ilvl="0" w:tplc="570A825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0068E4"/>
    <w:multiLevelType w:val="multilevel"/>
    <w:tmpl w:val="59E4FCC0"/>
    <w:lvl w:ilvl="0">
      <w:start w:val="1"/>
      <w:numFmt w:val="decimal"/>
      <w:lvlText w:val="%1"/>
      <w:lvlJc w:val="left"/>
      <w:pPr>
        <w:ind w:left="360" w:hanging="360"/>
      </w:pPr>
      <w:rPr>
        <w:rFonts w:cs="Arial" w:hint="default"/>
      </w:rPr>
    </w:lvl>
    <w:lvl w:ilvl="1">
      <w:start w:val="1"/>
      <w:numFmt w:val="decimal"/>
      <w:lvlText w:val="%1.%2"/>
      <w:lvlJc w:val="left"/>
      <w:pPr>
        <w:ind w:left="397" w:hanging="397"/>
      </w:pPr>
      <w:rPr>
        <w:rFonts w:cs="Arial" w:hint="default"/>
      </w:rPr>
    </w:lvl>
    <w:lvl w:ilvl="2">
      <w:start w:val="1"/>
      <w:numFmt w:val="decimal"/>
      <w:lvlText w:val="%1.%2.%3"/>
      <w:lvlJc w:val="left"/>
      <w:pPr>
        <w:ind w:left="1004"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42" w15:restartNumberingAfterBreak="0">
    <w:nsid w:val="4D1A1674"/>
    <w:multiLevelType w:val="hybridMultilevel"/>
    <w:tmpl w:val="3B2A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226E4D"/>
    <w:multiLevelType w:val="hybridMultilevel"/>
    <w:tmpl w:val="86E6AB52"/>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44" w15:restartNumberingAfterBreak="0">
    <w:nsid w:val="534E2E1A"/>
    <w:multiLevelType w:val="hybridMultilevel"/>
    <w:tmpl w:val="78A488C8"/>
    <w:lvl w:ilvl="0" w:tplc="A6C2E10E">
      <w:start w:val="1"/>
      <w:numFmt w:val="lowerRoman"/>
      <w:lvlText w:val="(%1)"/>
      <w:lvlJc w:val="left"/>
      <w:pPr>
        <w:ind w:left="1854" w:hanging="72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45" w15:restartNumberingAfterBreak="0">
    <w:nsid w:val="549E0B09"/>
    <w:multiLevelType w:val="hybridMultilevel"/>
    <w:tmpl w:val="02A4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56131FC"/>
    <w:multiLevelType w:val="hybridMultilevel"/>
    <w:tmpl w:val="77C40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8BA1A32"/>
    <w:multiLevelType w:val="hybridMultilevel"/>
    <w:tmpl w:val="AEE4EF1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48" w15:restartNumberingAfterBreak="0">
    <w:nsid w:val="5A425AE9"/>
    <w:multiLevelType w:val="hybridMultilevel"/>
    <w:tmpl w:val="6644AB7A"/>
    <w:lvl w:ilvl="0" w:tplc="C166DA24">
      <w:start w:val="1"/>
      <w:numFmt w:val="bullet"/>
      <w:lvlText w:val=""/>
      <w:lvlJc w:val="left"/>
      <w:pPr>
        <w:ind w:left="3272" w:hanging="360"/>
      </w:pPr>
      <w:rPr>
        <w:rFonts w:ascii="Symbol" w:hAnsi="Symbol" w:hint="default"/>
      </w:rPr>
    </w:lvl>
    <w:lvl w:ilvl="1" w:tplc="04090003" w:tentative="1">
      <w:start w:val="1"/>
      <w:numFmt w:val="bullet"/>
      <w:lvlText w:val="o"/>
      <w:lvlJc w:val="left"/>
      <w:pPr>
        <w:ind w:left="3992" w:hanging="360"/>
      </w:pPr>
      <w:rPr>
        <w:rFonts w:ascii="Courier New" w:hAnsi="Courier New" w:cs="Courier New" w:hint="default"/>
      </w:rPr>
    </w:lvl>
    <w:lvl w:ilvl="2" w:tplc="04090005" w:tentative="1">
      <w:start w:val="1"/>
      <w:numFmt w:val="bullet"/>
      <w:lvlText w:val=""/>
      <w:lvlJc w:val="left"/>
      <w:pPr>
        <w:ind w:left="4712" w:hanging="360"/>
      </w:pPr>
      <w:rPr>
        <w:rFonts w:ascii="Wingdings" w:hAnsi="Wingdings" w:hint="default"/>
      </w:rPr>
    </w:lvl>
    <w:lvl w:ilvl="3" w:tplc="04090001" w:tentative="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cs="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cs="Courier New" w:hint="default"/>
      </w:rPr>
    </w:lvl>
    <w:lvl w:ilvl="8" w:tplc="04090005" w:tentative="1">
      <w:start w:val="1"/>
      <w:numFmt w:val="bullet"/>
      <w:lvlText w:val=""/>
      <w:lvlJc w:val="left"/>
      <w:pPr>
        <w:ind w:left="9032" w:hanging="360"/>
      </w:pPr>
      <w:rPr>
        <w:rFonts w:ascii="Wingdings" w:hAnsi="Wingdings" w:hint="default"/>
      </w:rPr>
    </w:lvl>
  </w:abstractNum>
  <w:abstractNum w:abstractNumId="49" w15:restartNumberingAfterBreak="0">
    <w:nsid w:val="61BA7817"/>
    <w:multiLevelType w:val="hybridMultilevel"/>
    <w:tmpl w:val="BF14D566"/>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15:restartNumberingAfterBreak="0">
    <w:nsid w:val="625F3142"/>
    <w:multiLevelType w:val="multilevel"/>
    <w:tmpl w:val="33E2CC48"/>
    <w:lvl w:ilvl="0">
      <w:start w:val="6"/>
      <w:numFmt w:val="decimal"/>
      <w:lvlText w:val="%1."/>
      <w:lvlJc w:val="left"/>
      <w:pPr>
        <w:ind w:left="585" w:hanging="585"/>
      </w:pPr>
      <w:rPr>
        <w:rFonts w:cs="Arial" w:hint="default"/>
        <w:b/>
        <w:sz w:val="28"/>
        <w:szCs w:val="28"/>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51" w15:restartNumberingAfterBreak="0">
    <w:nsid w:val="62D97C84"/>
    <w:multiLevelType w:val="multilevel"/>
    <w:tmpl w:val="CFB635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3101953"/>
    <w:multiLevelType w:val="hybridMultilevel"/>
    <w:tmpl w:val="6ABC17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32D7AF8"/>
    <w:multiLevelType w:val="hybridMultilevel"/>
    <w:tmpl w:val="9E12B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63866430"/>
    <w:multiLevelType w:val="hybridMultilevel"/>
    <w:tmpl w:val="C2BC2D40"/>
    <w:lvl w:ilvl="0" w:tplc="470E7472">
      <w:start w:val="1"/>
      <w:numFmt w:val="bullet"/>
      <w:lvlText w:val=""/>
      <w:lvlJc w:val="left"/>
      <w:pPr>
        <w:ind w:left="1004" w:hanging="360"/>
      </w:pPr>
      <w:rPr>
        <w:rFonts w:ascii="Symbol" w:hAnsi="Symbol" w:hint="default"/>
        <w:sz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5" w15:restartNumberingAfterBreak="0">
    <w:nsid w:val="67E0527B"/>
    <w:multiLevelType w:val="hybridMultilevel"/>
    <w:tmpl w:val="06D46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0F">
      <w:start w:val="1"/>
      <w:numFmt w:val="decimal"/>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7E4511F"/>
    <w:multiLevelType w:val="multilevel"/>
    <w:tmpl w:val="73DAE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9E40D21"/>
    <w:multiLevelType w:val="multilevel"/>
    <w:tmpl w:val="C03080CE"/>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A493EDB"/>
    <w:multiLevelType w:val="hybridMultilevel"/>
    <w:tmpl w:val="2FC6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B1D067C"/>
    <w:multiLevelType w:val="hybridMultilevel"/>
    <w:tmpl w:val="D56A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BE1772E"/>
    <w:multiLevelType w:val="hybridMultilevel"/>
    <w:tmpl w:val="7CD8F422"/>
    <w:lvl w:ilvl="0" w:tplc="7E2CC594">
      <w:start w:val="6"/>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E5D394B"/>
    <w:multiLevelType w:val="multilevel"/>
    <w:tmpl w:val="EA429F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0FD6384"/>
    <w:multiLevelType w:val="hybridMultilevel"/>
    <w:tmpl w:val="25EC2C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3" w15:restartNumberingAfterBreak="0">
    <w:nsid w:val="7118793F"/>
    <w:multiLevelType w:val="hybridMultilevel"/>
    <w:tmpl w:val="EDCA0D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47920E32">
      <w:start w:val="1"/>
      <w:numFmt w:val="lowerLetter"/>
      <w:lvlText w:val="%4."/>
      <w:lvlJc w:val="left"/>
      <w:pPr>
        <w:ind w:left="2880" w:hanging="360"/>
      </w:pPr>
      <w:rPr>
        <w:rFonts w:hint="default"/>
        <w:b/>
      </w:rPr>
    </w:lvl>
    <w:lvl w:ilvl="4" w:tplc="6A9C4604">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12E49FA"/>
    <w:multiLevelType w:val="hybridMultilevel"/>
    <w:tmpl w:val="6EAC3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4036B0C"/>
    <w:multiLevelType w:val="hybridMultilevel"/>
    <w:tmpl w:val="E22429BC"/>
    <w:lvl w:ilvl="0" w:tplc="DFEE6D38">
      <w:start w:val="1"/>
      <w:numFmt w:val="lowerLetter"/>
      <w:lvlText w:val="(%1)"/>
      <w:lvlJc w:val="left"/>
      <w:pPr>
        <w:tabs>
          <w:tab w:val="num" w:pos="1134"/>
        </w:tabs>
        <w:ind w:left="1134" w:hanging="567"/>
      </w:pPr>
      <w:rPr>
        <w:rFonts w:hint="default"/>
      </w:rPr>
    </w:lvl>
    <w:lvl w:ilvl="1" w:tplc="08090001">
      <w:start w:val="1"/>
      <w:numFmt w:val="bullet"/>
      <w:lvlText w:val=""/>
      <w:lvlJc w:val="left"/>
      <w:pPr>
        <w:tabs>
          <w:tab w:val="num" w:pos="1287"/>
        </w:tabs>
        <w:ind w:left="1287" w:hanging="360"/>
      </w:pPr>
      <w:rPr>
        <w:rFonts w:ascii="Symbol" w:hAnsi="Symbol" w:hint="default"/>
      </w:rPr>
    </w:lvl>
    <w:lvl w:ilvl="2" w:tplc="D17AAF6A">
      <w:start w:val="1"/>
      <w:numFmt w:val="bullet"/>
      <w:lvlText w:val=""/>
      <w:lvlJc w:val="left"/>
      <w:pPr>
        <w:tabs>
          <w:tab w:val="num" w:pos="1134"/>
        </w:tabs>
        <w:ind w:left="1134" w:hanging="567"/>
      </w:pPr>
      <w:rPr>
        <w:rFonts w:ascii="Symbol" w:hAnsi="Symbol" w:hint="default"/>
      </w:rPr>
    </w:lvl>
    <w:lvl w:ilvl="3" w:tplc="798C8972">
      <w:start w:val="1"/>
      <w:numFmt w:val="lowerLetter"/>
      <w:lvlText w:val="%4)"/>
      <w:lvlJc w:val="left"/>
      <w:pPr>
        <w:tabs>
          <w:tab w:val="num" w:pos="1134"/>
        </w:tabs>
        <w:ind w:left="1134" w:hanging="567"/>
      </w:pPr>
      <w:rPr>
        <w:rFonts w:hint="default"/>
      </w:rPr>
    </w:lvl>
    <w:lvl w:ilvl="4" w:tplc="EA287D7A">
      <w:start w:val="23"/>
      <w:numFmt w:val="decimal"/>
      <w:lvlText w:val="%5."/>
      <w:lvlJc w:val="left"/>
      <w:pPr>
        <w:tabs>
          <w:tab w:val="num" w:pos="567"/>
        </w:tabs>
        <w:ind w:left="567" w:hanging="567"/>
      </w:pPr>
      <w:rPr>
        <w:rFonts w:hint="default"/>
      </w:rPr>
    </w:lvl>
    <w:lvl w:ilvl="5" w:tplc="4330D7A2">
      <w:start w:val="1"/>
      <w:numFmt w:val="bullet"/>
      <w:lvlText w:val=""/>
      <w:lvlJc w:val="left"/>
      <w:pPr>
        <w:tabs>
          <w:tab w:val="num" w:pos="1134"/>
        </w:tabs>
        <w:ind w:left="1134" w:hanging="567"/>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95050D3"/>
    <w:multiLevelType w:val="hybridMultilevel"/>
    <w:tmpl w:val="2E2CC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7A1D7F85"/>
    <w:multiLevelType w:val="hybridMultilevel"/>
    <w:tmpl w:val="CA26BAE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8" w15:restartNumberingAfterBreak="0">
    <w:nsid w:val="7D1C7392"/>
    <w:multiLevelType w:val="multilevel"/>
    <w:tmpl w:val="CFB635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E623F89"/>
    <w:multiLevelType w:val="multilevel"/>
    <w:tmpl w:val="4F18D4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0"/>
  </w:num>
  <w:num w:numId="2">
    <w:abstractNumId w:val="41"/>
  </w:num>
  <w:num w:numId="3">
    <w:abstractNumId w:val="23"/>
  </w:num>
  <w:num w:numId="4">
    <w:abstractNumId w:val="14"/>
  </w:num>
  <w:num w:numId="5">
    <w:abstractNumId w:val="52"/>
  </w:num>
  <w:num w:numId="6">
    <w:abstractNumId w:val="16"/>
  </w:num>
  <w:num w:numId="7">
    <w:abstractNumId w:val="1"/>
    <w:lvlOverride w:ilvl="0">
      <w:lvl w:ilvl="0">
        <w:start w:val="1"/>
        <w:numFmt w:val="bullet"/>
        <w:lvlText w:val=""/>
        <w:legacy w:legacy="1" w:legacySpace="0" w:legacyIndent="284"/>
        <w:lvlJc w:val="left"/>
        <w:pPr>
          <w:ind w:left="1004" w:hanging="284"/>
        </w:pPr>
        <w:rPr>
          <w:rFonts w:ascii="Symbol" w:hAnsi="Symbol" w:hint="default"/>
          <w:sz w:val="16"/>
        </w:rPr>
      </w:lvl>
    </w:lvlOverride>
  </w:num>
  <w:num w:numId="8">
    <w:abstractNumId w:val="34"/>
  </w:num>
  <w:num w:numId="9">
    <w:abstractNumId w:val="25"/>
  </w:num>
  <w:num w:numId="10">
    <w:abstractNumId w:val="51"/>
  </w:num>
  <w:num w:numId="11">
    <w:abstractNumId w:val="36"/>
  </w:num>
  <w:num w:numId="12">
    <w:abstractNumId w:val="63"/>
  </w:num>
  <w:num w:numId="13">
    <w:abstractNumId w:val="68"/>
  </w:num>
  <w:num w:numId="14">
    <w:abstractNumId w:val="43"/>
  </w:num>
  <w:num w:numId="15">
    <w:abstractNumId w:val="53"/>
  </w:num>
  <w:num w:numId="16">
    <w:abstractNumId w:val="69"/>
  </w:num>
  <w:num w:numId="17">
    <w:abstractNumId w:val="6"/>
  </w:num>
  <w:num w:numId="18">
    <w:abstractNumId w:val="17"/>
  </w:num>
  <w:num w:numId="19">
    <w:abstractNumId w:val="61"/>
  </w:num>
  <w:num w:numId="20">
    <w:abstractNumId w:val="56"/>
  </w:num>
  <w:num w:numId="21">
    <w:abstractNumId w:val="38"/>
  </w:num>
  <w:num w:numId="22">
    <w:abstractNumId w:val="22"/>
  </w:num>
  <w:num w:numId="23">
    <w:abstractNumId w:val="57"/>
  </w:num>
  <w:num w:numId="24">
    <w:abstractNumId w:val="13"/>
  </w:num>
  <w:num w:numId="25">
    <w:abstractNumId w:val="28"/>
  </w:num>
  <w:num w:numId="26">
    <w:abstractNumId w:val="26"/>
  </w:num>
  <w:num w:numId="27">
    <w:abstractNumId w:val="65"/>
  </w:num>
  <w:num w:numId="28">
    <w:abstractNumId w:val="24"/>
  </w:num>
  <w:num w:numId="29">
    <w:abstractNumId w:val="39"/>
  </w:num>
  <w:num w:numId="30">
    <w:abstractNumId w:val="9"/>
  </w:num>
  <w:num w:numId="31">
    <w:abstractNumId w:val="42"/>
  </w:num>
  <w:num w:numId="32">
    <w:abstractNumId w:val="64"/>
  </w:num>
  <w:num w:numId="33">
    <w:abstractNumId w:val="29"/>
  </w:num>
  <w:num w:numId="34">
    <w:abstractNumId w:val="2"/>
  </w:num>
  <w:num w:numId="35">
    <w:abstractNumId w:val="5"/>
  </w:num>
  <w:num w:numId="36">
    <w:abstractNumId w:val="21"/>
  </w:num>
  <w:num w:numId="37">
    <w:abstractNumId w:val="7"/>
  </w:num>
  <w:num w:numId="38">
    <w:abstractNumId w:val="54"/>
  </w:num>
  <w:num w:numId="39">
    <w:abstractNumId w:val="12"/>
  </w:num>
  <w:num w:numId="40">
    <w:abstractNumId w:val="27"/>
  </w:num>
  <w:num w:numId="41">
    <w:abstractNumId w:val="67"/>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num>
  <w:num w:numId="44">
    <w:abstractNumId w:val="35"/>
  </w:num>
  <w:num w:numId="45">
    <w:abstractNumId w:val="60"/>
  </w:num>
  <w:num w:numId="46">
    <w:abstractNumId w:val="40"/>
  </w:num>
  <w:num w:numId="47">
    <w:abstractNumId w:val="58"/>
  </w:num>
  <w:num w:numId="48">
    <w:abstractNumId w:val="46"/>
  </w:num>
  <w:num w:numId="49">
    <w:abstractNumId w:val="10"/>
  </w:num>
  <w:num w:numId="50">
    <w:abstractNumId w:val="15"/>
  </w:num>
  <w:num w:numId="51">
    <w:abstractNumId w:val="55"/>
  </w:num>
  <w:num w:numId="52">
    <w:abstractNumId w:val="30"/>
  </w:num>
  <w:num w:numId="53">
    <w:abstractNumId w:val="0"/>
  </w:num>
  <w:num w:numId="54">
    <w:abstractNumId w:val="11"/>
  </w:num>
  <w:num w:numId="55">
    <w:abstractNumId w:val="20"/>
  </w:num>
  <w:num w:numId="56">
    <w:abstractNumId w:val="18"/>
  </w:num>
  <w:num w:numId="57">
    <w:abstractNumId w:val="66"/>
  </w:num>
  <w:num w:numId="58">
    <w:abstractNumId w:val="19"/>
  </w:num>
  <w:num w:numId="59">
    <w:abstractNumId w:val="3"/>
  </w:num>
  <w:num w:numId="60">
    <w:abstractNumId w:val="31"/>
  </w:num>
  <w:num w:numId="61">
    <w:abstractNumId w:val="45"/>
  </w:num>
  <w:num w:numId="62">
    <w:abstractNumId w:val="59"/>
  </w:num>
  <w:num w:numId="63">
    <w:abstractNumId w:val="4"/>
  </w:num>
  <w:num w:numId="64">
    <w:abstractNumId w:val="8"/>
  </w:num>
  <w:num w:numId="65">
    <w:abstractNumId w:val="48"/>
  </w:num>
  <w:num w:numId="66">
    <w:abstractNumId w:val="6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num>
  <w:num w:numId="68">
    <w:abstractNumId w:val="47"/>
  </w:num>
  <w:num w:numId="69">
    <w:abstractNumId w:val="37"/>
  </w:num>
  <w:num w:numId="70">
    <w:abstractNumId w:val="33"/>
  </w:num>
  <w:num w:numId="71">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2AF1"/>
    <w:rsid w:val="0001289F"/>
    <w:rsid w:val="00013A0A"/>
    <w:rsid w:val="00014D60"/>
    <w:rsid w:val="00015CC4"/>
    <w:rsid w:val="00021431"/>
    <w:rsid w:val="00022C05"/>
    <w:rsid w:val="00023AE5"/>
    <w:rsid w:val="000364D2"/>
    <w:rsid w:val="0004029A"/>
    <w:rsid w:val="000474FE"/>
    <w:rsid w:val="0005010A"/>
    <w:rsid w:val="0006034E"/>
    <w:rsid w:val="00063783"/>
    <w:rsid w:val="00067416"/>
    <w:rsid w:val="00072FE6"/>
    <w:rsid w:val="00073765"/>
    <w:rsid w:val="000929A6"/>
    <w:rsid w:val="00097762"/>
    <w:rsid w:val="000A0085"/>
    <w:rsid w:val="000A3326"/>
    <w:rsid w:val="000A6DC8"/>
    <w:rsid w:val="000B2DA2"/>
    <w:rsid w:val="000B5015"/>
    <w:rsid w:val="000B773D"/>
    <w:rsid w:val="000B788F"/>
    <w:rsid w:val="000B7E0E"/>
    <w:rsid w:val="000C6ED0"/>
    <w:rsid w:val="000D18F2"/>
    <w:rsid w:val="000D25EF"/>
    <w:rsid w:val="000D4E36"/>
    <w:rsid w:val="000E0D44"/>
    <w:rsid w:val="000E5B91"/>
    <w:rsid w:val="000E62FE"/>
    <w:rsid w:val="001072A4"/>
    <w:rsid w:val="001161E4"/>
    <w:rsid w:val="0012000D"/>
    <w:rsid w:val="001211B7"/>
    <w:rsid w:val="001213AE"/>
    <w:rsid w:val="00122EA0"/>
    <w:rsid w:val="00123BE1"/>
    <w:rsid w:val="00125A26"/>
    <w:rsid w:val="00134002"/>
    <w:rsid w:val="00135F25"/>
    <w:rsid w:val="00153481"/>
    <w:rsid w:val="0015376F"/>
    <w:rsid w:val="001614E0"/>
    <w:rsid w:val="00171BD8"/>
    <w:rsid w:val="0017653E"/>
    <w:rsid w:val="00180B6D"/>
    <w:rsid w:val="001813C8"/>
    <w:rsid w:val="00182B01"/>
    <w:rsid w:val="00183378"/>
    <w:rsid w:val="001840D2"/>
    <w:rsid w:val="0018443E"/>
    <w:rsid w:val="00193588"/>
    <w:rsid w:val="00193FEB"/>
    <w:rsid w:val="0019636C"/>
    <w:rsid w:val="001966D7"/>
    <w:rsid w:val="001A33E5"/>
    <w:rsid w:val="001B0396"/>
    <w:rsid w:val="001C110D"/>
    <w:rsid w:val="001C2F46"/>
    <w:rsid w:val="001C4832"/>
    <w:rsid w:val="001C4D2E"/>
    <w:rsid w:val="001C7E35"/>
    <w:rsid w:val="001D000A"/>
    <w:rsid w:val="001E0697"/>
    <w:rsid w:val="001E3C06"/>
    <w:rsid w:val="001F0037"/>
    <w:rsid w:val="001F02FA"/>
    <w:rsid w:val="001F05EC"/>
    <w:rsid w:val="001F0BE9"/>
    <w:rsid w:val="001F3B4F"/>
    <w:rsid w:val="001F482D"/>
    <w:rsid w:val="00202D79"/>
    <w:rsid w:val="002034C3"/>
    <w:rsid w:val="00205D2F"/>
    <w:rsid w:val="002122C6"/>
    <w:rsid w:val="00215E8F"/>
    <w:rsid w:val="002209D3"/>
    <w:rsid w:val="00222AD2"/>
    <w:rsid w:val="00223464"/>
    <w:rsid w:val="00225A80"/>
    <w:rsid w:val="0023139A"/>
    <w:rsid w:val="0023145B"/>
    <w:rsid w:val="002322BB"/>
    <w:rsid w:val="00244B89"/>
    <w:rsid w:val="00251254"/>
    <w:rsid w:val="00251CD7"/>
    <w:rsid w:val="002548D1"/>
    <w:rsid w:val="00256201"/>
    <w:rsid w:val="002629F7"/>
    <w:rsid w:val="00264122"/>
    <w:rsid w:val="002667E7"/>
    <w:rsid w:val="0027283B"/>
    <w:rsid w:val="002739E6"/>
    <w:rsid w:val="00273A3E"/>
    <w:rsid w:val="00276683"/>
    <w:rsid w:val="0028019B"/>
    <w:rsid w:val="00283CAB"/>
    <w:rsid w:val="00286064"/>
    <w:rsid w:val="002A1FB6"/>
    <w:rsid w:val="002A3FEF"/>
    <w:rsid w:val="002A4479"/>
    <w:rsid w:val="002A708A"/>
    <w:rsid w:val="002B182D"/>
    <w:rsid w:val="002B54A6"/>
    <w:rsid w:val="002C44CE"/>
    <w:rsid w:val="002D46FA"/>
    <w:rsid w:val="002D4F94"/>
    <w:rsid w:val="002D7939"/>
    <w:rsid w:val="002F0AE9"/>
    <w:rsid w:val="002F1CAF"/>
    <w:rsid w:val="002F3EE9"/>
    <w:rsid w:val="002F5003"/>
    <w:rsid w:val="003028F9"/>
    <w:rsid w:val="003049BA"/>
    <w:rsid w:val="00307F76"/>
    <w:rsid w:val="00321FBB"/>
    <w:rsid w:val="00324ABA"/>
    <w:rsid w:val="00325E39"/>
    <w:rsid w:val="00331488"/>
    <w:rsid w:val="003320EA"/>
    <w:rsid w:val="00333FAA"/>
    <w:rsid w:val="003355D7"/>
    <w:rsid w:val="00344BFC"/>
    <w:rsid w:val="00347F8F"/>
    <w:rsid w:val="003606F9"/>
    <w:rsid w:val="0036201C"/>
    <w:rsid w:val="00362B79"/>
    <w:rsid w:val="003636D0"/>
    <w:rsid w:val="003667E4"/>
    <w:rsid w:val="003712C6"/>
    <w:rsid w:val="00371B20"/>
    <w:rsid w:val="00376768"/>
    <w:rsid w:val="003774BE"/>
    <w:rsid w:val="0039072F"/>
    <w:rsid w:val="003A10CE"/>
    <w:rsid w:val="003C0F82"/>
    <w:rsid w:val="003C7D8C"/>
    <w:rsid w:val="003F00EA"/>
    <w:rsid w:val="003F3AFD"/>
    <w:rsid w:val="004076C8"/>
    <w:rsid w:val="0041570C"/>
    <w:rsid w:val="004207E3"/>
    <w:rsid w:val="00421A4C"/>
    <w:rsid w:val="004238C2"/>
    <w:rsid w:val="00423E50"/>
    <w:rsid w:val="004264AD"/>
    <w:rsid w:val="00431106"/>
    <w:rsid w:val="0043202E"/>
    <w:rsid w:val="00433394"/>
    <w:rsid w:val="00435B5D"/>
    <w:rsid w:val="004363F7"/>
    <w:rsid w:val="004405D2"/>
    <w:rsid w:val="0044525C"/>
    <w:rsid w:val="004472F4"/>
    <w:rsid w:val="00447BF2"/>
    <w:rsid w:val="004553F1"/>
    <w:rsid w:val="004559A4"/>
    <w:rsid w:val="00463E5B"/>
    <w:rsid w:val="00471C1F"/>
    <w:rsid w:val="004809FA"/>
    <w:rsid w:val="00482674"/>
    <w:rsid w:val="0048525B"/>
    <w:rsid w:val="00485EF4"/>
    <w:rsid w:val="004A0C52"/>
    <w:rsid w:val="004B14E8"/>
    <w:rsid w:val="004B50AB"/>
    <w:rsid w:val="004B6B7C"/>
    <w:rsid w:val="004C2356"/>
    <w:rsid w:val="004C4A75"/>
    <w:rsid w:val="004D0E21"/>
    <w:rsid w:val="004D2DA0"/>
    <w:rsid w:val="004D4977"/>
    <w:rsid w:val="004E14A4"/>
    <w:rsid w:val="004E1FB4"/>
    <w:rsid w:val="004E2363"/>
    <w:rsid w:val="004E4037"/>
    <w:rsid w:val="004E5D44"/>
    <w:rsid w:val="004F54BD"/>
    <w:rsid w:val="004F56C5"/>
    <w:rsid w:val="004F56E4"/>
    <w:rsid w:val="00500F16"/>
    <w:rsid w:val="00514B52"/>
    <w:rsid w:val="00523BBA"/>
    <w:rsid w:val="00531FC6"/>
    <w:rsid w:val="00532B83"/>
    <w:rsid w:val="00533A60"/>
    <w:rsid w:val="005354D0"/>
    <w:rsid w:val="005356B7"/>
    <w:rsid w:val="00535AE6"/>
    <w:rsid w:val="005361E0"/>
    <w:rsid w:val="0054172C"/>
    <w:rsid w:val="0054590F"/>
    <w:rsid w:val="005459EC"/>
    <w:rsid w:val="0055595E"/>
    <w:rsid w:val="005661A2"/>
    <w:rsid w:val="005718B5"/>
    <w:rsid w:val="005808FB"/>
    <w:rsid w:val="00582605"/>
    <w:rsid w:val="0058496B"/>
    <w:rsid w:val="005876C6"/>
    <w:rsid w:val="00591016"/>
    <w:rsid w:val="0059621F"/>
    <w:rsid w:val="005A1E18"/>
    <w:rsid w:val="005A56EC"/>
    <w:rsid w:val="005B3F67"/>
    <w:rsid w:val="005C7670"/>
    <w:rsid w:val="005D548F"/>
    <w:rsid w:val="005D6EF5"/>
    <w:rsid w:val="005E20AD"/>
    <w:rsid w:val="005E395D"/>
    <w:rsid w:val="005E3A10"/>
    <w:rsid w:val="005E6F9B"/>
    <w:rsid w:val="005E7509"/>
    <w:rsid w:val="005F1E3E"/>
    <w:rsid w:val="005F4780"/>
    <w:rsid w:val="00603919"/>
    <w:rsid w:val="00604603"/>
    <w:rsid w:val="0060550A"/>
    <w:rsid w:val="00612EA3"/>
    <w:rsid w:val="00613BF0"/>
    <w:rsid w:val="00617212"/>
    <w:rsid w:val="006279B1"/>
    <w:rsid w:val="006313FF"/>
    <w:rsid w:val="00636101"/>
    <w:rsid w:val="006362A4"/>
    <w:rsid w:val="00641831"/>
    <w:rsid w:val="0064485B"/>
    <w:rsid w:val="00644A6C"/>
    <w:rsid w:val="00645B8B"/>
    <w:rsid w:val="006519ED"/>
    <w:rsid w:val="00655044"/>
    <w:rsid w:val="00666922"/>
    <w:rsid w:val="00670F17"/>
    <w:rsid w:val="006710C7"/>
    <w:rsid w:val="00692EA6"/>
    <w:rsid w:val="00695E6A"/>
    <w:rsid w:val="00696A83"/>
    <w:rsid w:val="006A29E9"/>
    <w:rsid w:val="006A33F5"/>
    <w:rsid w:val="006A7ED0"/>
    <w:rsid w:val="006B0A8E"/>
    <w:rsid w:val="006C501D"/>
    <w:rsid w:val="006C580A"/>
    <w:rsid w:val="006C78A7"/>
    <w:rsid w:val="006D1E69"/>
    <w:rsid w:val="006D209B"/>
    <w:rsid w:val="006D30D9"/>
    <w:rsid w:val="006D51C8"/>
    <w:rsid w:val="006E0A12"/>
    <w:rsid w:val="006E4DA2"/>
    <w:rsid w:val="006F057C"/>
    <w:rsid w:val="006F18E1"/>
    <w:rsid w:val="006F22DA"/>
    <w:rsid w:val="006F2EB3"/>
    <w:rsid w:val="006F3870"/>
    <w:rsid w:val="006F396A"/>
    <w:rsid w:val="007040A0"/>
    <w:rsid w:val="0071045B"/>
    <w:rsid w:val="0071085F"/>
    <w:rsid w:val="00710EAC"/>
    <w:rsid w:val="007116B1"/>
    <w:rsid w:val="00714BEE"/>
    <w:rsid w:val="007206B7"/>
    <w:rsid w:val="00721215"/>
    <w:rsid w:val="00723232"/>
    <w:rsid w:val="00723C6A"/>
    <w:rsid w:val="007264BD"/>
    <w:rsid w:val="0073614E"/>
    <w:rsid w:val="007400CF"/>
    <w:rsid w:val="00745F95"/>
    <w:rsid w:val="00764EBF"/>
    <w:rsid w:val="00765068"/>
    <w:rsid w:val="00767881"/>
    <w:rsid w:val="0078514E"/>
    <w:rsid w:val="007879A7"/>
    <w:rsid w:val="00791240"/>
    <w:rsid w:val="007914B1"/>
    <w:rsid w:val="00794D0D"/>
    <w:rsid w:val="0079786D"/>
    <w:rsid w:val="007A778D"/>
    <w:rsid w:val="007B0B8D"/>
    <w:rsid w:val="007B1E7D"/>
    <w:rsid w:val="007B23FC"/>
    <w:rsid w:val="007D0C1D"/>
    <w:rsid w:val="007D1E3C"/>
    <w:rsid w:val="007D40C1"/>
    <w:rsid w:val="007D4933"/>
    <w:rsid w:val="007D4DBF"/>
    <w:rsid w:val="007E4732"/>
    <w:rsid w:val="007E4BA4"/>
    <w:rsid w:val="007E6539"/>
    <w:rsid w:val="007F004E"/>
    <w:rsid w:val="007F335A"/>
    <w:rsid w:val="007F72A2"/>
    <w:rsid w:val="007F7A78"/>
    <w:rsid w:val="00803104"/>
    <w:rsid w:val="00810E69"/>
    <w:rsid w:val="0081234A"/>
    <w:rsid w:val="00812901"/>
    <w:rsid w:val="00824AD7"/>
    <w:rsid w:val="00826B9A"/>
    <w:rsid w:val="0083176F"/>
    <w:rsid w:val="0084179F"/>
    <w:rsid w:val="0085266D"/>
    <w:rsid w:val="008530B2"/>
    <w:rsid w:val="00860E53"/>
    <w:rsid w:val="00861EC7"/>
    <w:rsid w:val="00865643"/>
    <w:rsid w:val="008660D6"/>
    <w:rsid w:val="00866279"/>
    <w:rsid w:val="00867482"/>
    <w:rsid w:val="00877D06"/>
    <w:rsid w:val="00887A59"/>
    <w:rsid w:val="00890DE9"/>
    <w:rsid w:val="00891F17"/>
    <w:rsid w:val="00895AF7"/>
    <w:rsid w:val="00896D0B"/>
    <w:rsid w:val="008A26F3"/>
    <w:rsid w:val="008A5AA0"/>
    <w:rsid w:val="008B2007"/>
    <w:rsid w:val="008C5F33"/>
    <w:rsid w:val="008D6956"/>
    <w:rsid w:val="008E224D"/>
    <w:rsid w:val="008E30D2"/>
    <w:rsid w:val="008E3E63"/>
    <w:rsid w:val="008E41B0"/>
    <w:rsid w:val="008F0758"/>
    <w:rsid w:val="008F1E0D"/>
    <w:rsid w:val="008F2DF6"/>
    <w:rsid w:val="009170C6"/>
    <w:rsid w:val="00917979"/>
    <w:rsid w:val="00924888"/>
    <w:rsid w:val="0092530B"/>
    <w:rsid w:val="00926457"/>
    <w:rsid w:val="00937AB3"/>
    <w:rsid w:val="0094208C"/>
    <w:rsid w:val="00942122"/>
    <w:rsid w:val="00942F17"/>
    <w:rsid w:val="009461A4"/>
    <w:rsid w:val="00946261"/>
    <w:rsid w:val="009505F9"/>
    <w:rsid w:val="00952CEF"/>
    <w:rsid w:val="00955421"/>
    <w:rsid w:val="0096726F"/>
    <w:rsid w:val="0097368C"/>
    <w:rsid w:val="0098624C"/>
    <w:rsid w:val="00990E9C"/>
    <w:rsid w:val="00994542"/>
    <w:rsid w:val="00994908"/>
    <w:rsid w:val="009B160B"/>
    <w:rsid w:val="009B72D2"/>
    <w:rsid w:val="009C237B"/>
    <w:rsid w:val="009C354E"/>
    <w:rsid w:val="009D3373"/>
    <w:rsid w:val="009D4442"/>
    <w:rsid w:val="009E5A93"/>
    <w:rsid w:val="009E715C"/>
    <w:rsid w:val="009E7A2F"/>
    <w:rsid w:val="009F3201"/>
    <w:rsid w:val="009F3E1A"/>
    <w:rsid w:val="009F523A"/>
    <w:rsid w:val="00A111FB"/>
    <w:rsid w:val="00A20113"/>
    <w:rsid w:val="00A20D78"/>
    <w:rsid w:val="00A2215F"/>
    <w:rsid w:val="00A22839"/>
    <w:rsid w:val="00A23005"/>
    <w:rsid w:val="00A23E19"/>
    <w:rsid w:val="00A24003"/>
    <w:rsid w:val="00A303F5"/>
    <w:rsid w:val="00A32FEC"/>
    <w:rsid w:val="00A33185"/>
    <w:rsid w:val="00A3431D"/>
    <w:rsid w:val="00A3788F"/>
    <w:rsid w:val="00A423C7"/>
    <w:rsid w:val="00A42662"/>
    <w:rsid w:val="00A511D1"/>
    <w:rsid w:val="00A53B04"/>
    <w:rsid w:val="00A661F4"/>
    <w:rsid w:val="00A7271A"/>
    <w:rsid w:val="00A80A7D"/>
    <w:rsid w:val="00A81E19"/>
    <w:rsid w:val="00A821A3"/>
    <w:rsid w:val="00A8369D"/>
    <w:rsid w:val="00A910B6"/>
    <w:rsid w:val="00AA56C5"/>
    <w:rsid w:val="00AA687D"/>
    <w:rsid w:val="00AB1806"/>
    <w:rsid w:val="00AB795F"/>
    <w:rsid w:val="00AC0B6B"/>
    <w:rsid w:val="00AC6312"/>
    <w:rsid w:val="00AC718C"/>
    <w:rsid w:val="00AD0573"/>
    <w:rsid w:val="00AD07E8"/>
    <w:rsid w:val="00AD6806"/>
    <w:rsid w:val="00AD6D80"/>
    <w:rsid w:val="00AE4E4E"/>
    <w:rsid w:val="00AE5E12"/>
    <w:rsid w:val="00B1160D"/>
    <w:rsid w:val="00B14AF1"/>
    <w:rsid w:val="00B25A95"/>
    <w:rsid w:val="00B414AB"/>
    <w:rsid w:val="00B4158E"/>
    <w:rsid w:val="00B444E6"/>
    <w:rsid w:val="00B52011"/>
    <w:rsid w:val="00B533FA"/>
    <w:rsid w:val="00B53EFF"/>
    <w:rsid w:val="00B54AFA"/>
    <w:rsid w:val="00B55FD2"/>
    <w:rsid w:val="00B671A4"/>
    <w:rsid w:val="00B80383"/>
    <w:rsid w:val="00B804E8"/>
    <w:rsid w:val="00B809DF"/>
    <w:rsid w:val="00BB2EB6"/>
    <w:rsid w:val="00BB3E59"/>
    <w:rsid w:val="00BB3FA1"/>
    <w:rsid w:val="00BC0189"/>
    <w:rsid w:val="00BC206C"/>
    <w:rsid w:val="00BC431A"/>
    <w:rsid w:val="00BE2465"/>
    <w:rsid w:val="00BE478E"/>
    <w:rsid w:val="00BF7865"/>
    <w:rsid w:val="00C01A35"/>
    <w:rsid w:val="00C01C00"/>
    <w:rsid w:val="00C03772"/>
    <w:rsid w:val="00C044B6"/>
    <w:rsid w:val="00C04EDA"/>
    <w:rsid w:val="00C119A2"/>
    <w:rsid w:val="00C23F9C"/>
    <w:rsid w:val="00C33C39"/>
    <w:rsid w:val="00C3481F"/>
    <w:rsid w:val="00C40F4D"/>
    <w:rsid w:val="00C42F88"/>
    <w:rsid w:val="00C54F34"/>
    <w:rsid w:val="00C57267"/>
    <w:rsid w:val="00C5798C"/>
    <w:rsid w:val="00C60652"/>
    <w:rsid w:val="00C62B63"/>
    <w:rsid w:val="00C6769D"/>
    <w:rsid w:val="00C72B5B"/>
    <w:rsid w:val="00C87DE7"/>
    <w:rsid w:val="00C92E8C"/>
    <w:rsid w:val="00C94622"/>
    <w:rsid w:val="00C96904"/>
    <w:rsid w:val="00CA27E6"/>
    <w:rsid w:val="00CA5F6E"/>
    <w:rsid w:val="00CB5EA1"/>
    <w:rsid w:val="00CC4495"/>
    <w:rsid w:val="00CC72B5"/>
    <w:rsid w:val="00CD5231"/>
    <w:rsid w:val="00CD7D5D"/>
    <w:rsid w:val="00CE5F53"/>
    <w:rsid w:val="00CF0FC4"/>
    <w:rsid w:val="00CF66DF"/>
    <w:rsid w:val="00CF6932"/>
    <w:rsid w:val="00CF7D78"/>
    <w:rsid w:val="00D01FE3"/>
    <w:rsid w:val="00D0508B"/>
    <w:rsid w:val="00D06085"/>
    <w:rsid w:val="00D06CA3"/>
    <w:rsid w:val="00D07F46"/>
    <w:rsid w:val="00D14800"/>
    <w:rsid w:val="00D170E5"/>
    <w:rsid w:val="00D174CF"/>
    <w:rsid w:val="00D3180E"/>
    <w:rsid w:val="00D37D63"/>
    <w:rsid w:val="00D37F2F"/>
    <w:rsid w:val="00D404EE"/>
    <w:rsid w:val="00D415B9"/>
    <w:rsid w:val="00D51800"/>
    <w:rsid w:val="00D528E8"/>
    <w:rsid w:val="00D5574A"/>
    <w:rsid w:val="00D577BA"/>
    <w:rsid w:val="00D66F63"/>
    <w:rsid w:val="00D67765"/>
    <w:rsid w:val="00D74C84"/>
    <w:rsid w:val="00D771D0"/>
    <w:rsid w:val="00D835CF"/>
    <w:rsid w:val="00D86E00"/>
    <w:rsid w:val="00D948F2"/>
    <w:rsid w:val="00D961BF"/>
    <w:rsid w:val="00DA09E0"/>
    <w:rsid w:val="00DA1DED"/>
    <w:rsid w:val="00DA26FB"/>
    <w:rsid w:val="00DB6C3D"/>
    <w:rsid w:val="00DC5ACF"/>
    <w:rsid w:val="00DD7468"/>
    <w:rsid w:val="00DE25E9"/>
    <w:rsid w:val="00DE30E4"/>
    <w:rsid w:val="00DE71D3"/>
    <w:rsid w:val="00DE72CF"/>
    <w:rsid w:val="00DF08A0"/>
    <w:rsid w:val="00DF1593"/>
    <w:rsid w:val="00DF32A4"/>
    <w:rsid w:val="00E0551E"/>
    <w:rsid w:val="00E07D15"/>
    <w:rsid w:val="00E226F8"/>
    <w:rsid w:val="00E255CF"/>
    <w:rsid w:val="00E37265"/>
    <w:rsid w:val="00E37B56"/>
    <w:rsid w:val="00E4121F"/>
    <w:rsid w:val="00E463CA"/>
    <w:rsid w:val="00E510C3"/>
    <w:rsid w:val="00E53018"/>
    <w:rsid w:val="00E55D0F"/>
    <w:rsid w:val="00E70760"/>
    <w:rsid w:val="00E724E3"/>
    <w:rsid w:val="00E741FF"/>
    <w:rsid w:val="00E767B0"/>
    <w:rsid w:val="00E81658"/>
    <w:rsid w:val="00E824C8"/>
    <w:rsid w:val="00E84960"/>
    <w:rsid w:val="00E9253C"/>
    <w:rsid w:val="00EA4692"/>
    <w:rsid w:val="00EA4D45"/>
    <w:rsid w:val="00EA604E"/>
    <w:rsid w:val="00EB1976"/>
    <w:rsid w:val="00EB45B5"/>
    <w:rsid w:val="00EB5E57"/>
    <w:rsid w:val="00EB61DB"/>
    <w:rsid w:val="00EC0644"/>
    <w:rsid w:val="00EC11D7"/>
    <w:rsid w:val="00ED04FE"/>
    <w:rsid w:val="00ED4AFD"/>
    <w:rsid w:val="00EE4FBE"/>
    <w:rsid w:val="00EE53A1"/>
    <w:rsid w:val="00EE5F66"/>
    <w:rsid w:val="00EF3A32"/>
    <w:rsid w:val="00F02E8E"/>
    <w:rsid w:val="00F05BB7"/>
    <w:rsid w:val="00F21021"/>
    <w:rsid w:val="00F2433C"/>
    <w:rsid w:val="00F30693"/>
    <w:rsid w:val="00F45400"/>
    <w:rsid w:val="00F5290F"/>
    <w:rsid w:val="00F53609"/>
    <w:rsid w:val="00F56220"/>
    <w:rsid w:val="00F5649A"/>
    <w:rsid w:val="00F661F8"/>
    <w:rsid w:val="00F67DC5"/>
    <w:rsid w:val="00F82342"/>
    <w:rsid w:val="00F877DB"/>
    <w:rsid w:val="00F9072E"/>
    <w:rsid w:val="00F91AE4"/>
    <w:rsid w:val="00F93C8B"/>
    <w:rsid w:val="00F959DD"/>
    <w:rsid w:val="00F960D5"/>
    <w:rsid w:val="00FB0BD9"/>
    <w:rsid w:val="00FB1231"/>
    <w:rsid w:val="00FB184A"/>
    <w:rsid w:val="00FC1350"/>
    <w:rsid w:val="00FC1C5C"/>
    <w:rsid w:val="00FD0575"/>
    <w:rsid w:val="00FE17E2"/>
    <w:rsid w:val="00FF0CF3"/>
    <w:rsid w:val="00FF172C"/>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C05078"/>
  <w15:docId w15:val="{58A5EE9D-B92D-4C52-A62B-933A8578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9"/>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qFormat/>
    <w:rsid w:val="00013A0A"/>
    <w:pPr>
      <w:keepNext/>
      <w:outlineLvl w:val="4"/>
    </w:pPr>
    <w:rPr>
      <w:rFonts w:cs="Arial"/>
      <w:sz w:val="28"/>
    </w:rPr>
  </w:style>
  <w:style w:type="paragraph" w:styleId="Heading6">
    <w:name w:val="heading 6"/>
    <w:basedOn w:val="Normal"/>
    <w:next w:val="Normal"/>
    <w:link w:val="Heading6Char"/>
    <w:qFormat/>
    <w:rsid w:val="00013A0A"/>
    <w:pPr>
      <w:keepNext/>
      <w:ind w:left="720" w:hanging="720"/>
      <w:outlineLvl w:val="5"/>
    </w:pPr>
    <w:rPr>
      <w:rFonts w:cs="Arial"/>
      <w:b/>
      <w:bCs/>
      <w:sz w:val="28"/>
      <w:szCs w:val="24"/>
    </w:rPr>
  </w:style>
  <w:style w:type="paragraph" w:styleId="Heading7">
    <w:name w:val="heading 7"/>
    <w:basedOn w:val="Normal"/>
    <w:next w:val="Normal"/>
    <w:link w:val="Heading7Char"/>
    <w:qFormat/>
    <w:rsid w:val="00013A0A"/>
    <w:pPr>
      <w:keepNext/>
      <w:ind w:left="720" w:hanging="720"/>
      <w:jc w:val="both"/>
      <w:outlineLvl w:val="6"/>
    </w:pPr>
    <w:rPr>
      <w:rFonts w:cs="Arial"/>
      <w:i/>
      <w:iCs/>
    </w:rPr>
  </w:style>
  <w:style w:type="paragraph" w:styleId="Heading8">
    <w:name w:val="heading 8"/>
    <w:basedOn w:val="Normal"/>
    <w:next w:val="Normal"/>
    <w:link w:val="Heading8Char"/>
    <w:qFormat/>
    <w:rsid w:val="00013A0A"/>
    <w:pPr>
      <w:keepNext/>
      <w:ind w:left="720" w:hanging="720"/>
      <w:outlineLvl w:val="7"/>
    </w:pPr>
    <w:rPr>
      <w:rFonts w:cs="Arial"/>
      <w:i/>
      <w:iCs/>
    </w:rPr>
  </w:style>
  <w:style w:type="paragraph" w:styleId="Heading9">
    <w:name w:val="heading 9"/>
    <w:basedOn w:val="Normal"/>
    <w:next w:val="Normal"/>
    <w:link w:val="Heading9Char"/>
    <w:qFormat/>
    <w:rsid w:val="00013A0A"/>
    <w:pPr>
      <w:keepNext/>
      <w:ind w:left="720" w:hanging="72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odyText3">
    <w:name w:val="Body Text 3"/>
    <w:basedOn w:val="Normal"/>
    <w:link w:val="BodyText3Char"/>
    <w:rsid w:val="000A6DC8"/>
    <w:pPr>
      <w:spacing w:after="120"/>
    </w:pPr>
    <w:rPr>
      <w:sz w:val="16"/>
      <w:szCs w:val="16"/>
    </w:rPr>
  </w:style>
  <w:style w:type="character" w:customStyle="1" w:styleId="BodyText3Char">
    <w:name w:val="Body Text 3 Char"/>
    <w:basedOn w:val="DefaultParagraphFont"/>
    <w:link w:val="BodyText3"/>
    <w:rsid w:val="000A6DC8"/>
    <w:rPr>
      <w:rFonts w:ascii="Arial" w:hAnsi="Arial"/>
      <w:sz w:val="16"/>
      <w:szCs w:val="16"/>
      <w:lang w:eastAsia="en-US"/>
    </w:rPr>
  </w:style>
  <w:style w:type="paragraph" w:styleId="BalloonText">
    <w:name w:val="Balloon Text"/>
    <w:basedOn w:val="Normal"/>
    <w:link w:val="BalloonTextChar"/>
    <w:rsid w:val="00866279"/>
    <w:rPr>
      <w:rFonts w:ascii="Tahoma" w:hAnsi="Tahoma" w:cs="Tahoma"/>
      <w:sz w:val="16"/>
      <w:szCs w:val="16"/>
    </w:rPr>
  </w:style>
  <w:style w:type="character" w:customStyle="1" w:styleId="BalloonTextChar">
    <w:name w:val="Balloon Text Char"/>
    <w:basedOn w:val="DefaultParagraphFont"/>
    <w:link w:val="BalloonText"/>
    <w:rsid w:val="00866279"/>
    <w:rPr>
      <w:rFonts w:ascii="Tahoma" w:hAnsi="Tahoma" w:cs="Tahoma"/>
      <w:sz w:val="16"/>
      <w:szCs w:val="16"/>
      <w:lang w:eastAsia="en-US"/>
    </w:rPr>
  </w:style>
  <w:style w:type="paragraph" w:customStyle="1" w:styleId="CharCharCharChar3">
    <w:name w:val="Char Char Char Char3"/>
    <w:basedOn w:val="Normal"/>
    <w:locked/>
    <w:rsid w:val="003667E4"/>
    <w:pPr>
      <w:spacing w:after="160" w:line="240" w:lineRule="exact"/>
    </w:pPr>
    <w:rPr>
      <w:rFonts w:ascii="Verdana" w:hAnsi="Verdana"/>
      <w:sz w:val="20"/>
      <w:lang w:val="en-US"/>
    </w:rPr>
  </w:style>
  <w:style w:type="character" w:customStyle="1" w:styleId="FooterChar">
    <w:name w:val="Footer Char"/>
    <w:basedOn w:val="DefaultParagraphFont"/>
    <w:link w:val="Footer"/>
    <w:uiPriority w:val="99"/>
    <w:rsid w:val="00C94622"/>
    <w:rPr>
      <w:rFonts w:ascii="Arial" w:hAnsi="Arial"/>
      <w:sz w:val="24"/>
      <w:szCs w:val="24"/>
      <w:lang w:val="en-US" w:eastAsia="en-US"/>
    </w:rPr>
  </w:style>
  <w:style w:type="paragraph" w:customStyle="1" w:styleId="CharCharCharChar2">
    <w:name w:val="Char Char Char Char2"/>
    <w:basedOn w:val="Normal"/>
    <w:locked/>
    <w:rsid w:val="000D25EF"/>
    <w:pPr>
      <w:spacing w:after="160" w:line="240" w:lineRule="exact"/>
    </w:pPr>
    <w:rPr>
      <w:rFonts w:ascii="Verdana" w:hAnsi="Verdana"/>
      <w:sz w:val="20"/>
      <w:lang w:val="en-US"/>
    </w:rPr>
  </w:style>
  <w:style w:type="paragraph" w:customStyle="1" w:styleId="CharCharCharChar1">
    <w:name w:val="Char Char Char Char1"/>
    <w:basedOn w:val="Normal"/>
    <w:locked/>
    <w:rsid w:val="005C7670"/>
    <w:pPr>
      <w:spacing w:after="160" w:line="240" w:lineRule="exact"/>
    </w:pPr>
    <w:rPr>
      <w:rFonts w:ascii="Verdana" w:hAnsi="Verdana"/>
      <w:sz w:val="20"/>
      <w:lang w:val="en-US"/>
    </w:rPr>
  </w:style>
  <w:style w:type="paragraph" w:styleId="Revision">
    <w:name w:val="Revision"/>
    <w:hidden/>
    <w:uiPriority w:val="99"/>
    <w:semiHidden/>
    <w:rsid w:val="005C7670"/>
    <w:rPr>
      <w:rFonts w:ascii="Arial" w:hAnsi="Arial"/>
      <w:sz w:val="24"/>
      <w:lang w:eastAsia="en-US"/>
    </w:rPr>
  </w:style>
  <w:style w:type="paragraph" w:customStyle="1" w:styleId="ChapterHeading">
    <w:name w:val="Chapter Heading"/>
    <w:basedOn w:val="Normal"/>
    <w:link w:val="ChapterHeadingChar"/>
    <w:uiPriority w:val="99"/>
    <w:semiHidden/>
    <w:rsid w:val="00723232"/>
    <w:pPr>
      <w:pageBreakBefore/>
      <w:numPr>
        <w:numId w:val="8"/>
      </w:numPr>
      <w:spacing w:before="120" w:after="120"/>
      <w:jc w:val="both"/>
    </w:pPr>
    <w:rPr>
      <w:rFonts w:ascii="Calibri" w:hAnsi="Calibri" w:cs="Arial"/>
      <w:b/>
      <w:noProof/>
      <w:spacing w:val="-5"/>
      <w:sz w:val="36"/>
      <w:szCs w:val="36"/>
    </w:rPr>
  </w:style>
  <w:style w:type="paragraph" w:customStyle="1" w:styleId="Subheading">
    <w:name w:val="Subheading"/>
    <w:basedOn w:val="BodyText"/>
    <w:link w:val="SubheadingChar"/>
    <w:uiPriority w:val="99"/>
    <w:semiHidden/>
    <w:rsid w:val="00723232"/>
    <w:pPr>
      <w:numPr>
        <w:ilvl w:val="1"/>
        <w:numId w:val="8"/>
      </w:numPr>
      <w:spacing w:before="270" w:after="180"/>
      <w:jc w:val="both"/>
    </w:pPr>
    <w:rPr>
      <w:b/>
      <w:i w:val="0"/>
      <w:iCs w:val="0"/>
      <w:noProof/>
      <w:sz w:val="22"/>
      <w:szCs w:val="22"/>
    </w:rPr>
  </w:style>
  <w:style w:type="paragraph" w:customStyle="1" w:styleId="subhead">
    <w:name w:val="subhead"/>
    <w:basedOn w:val="Subheading"/>
    <w:link w:val="subheadChar"/>
    <w:uiPriority w:val="99"/>
    <w:rsid w:val="00723232"/>
  </w:style>
  <w:style w:type="character" w:customStyle="1" w:styleId="subheadChar">
    <w:name w:val="subhead Char"/>
    <w:basedOn w:val="DefaultParagraphFont"/>
    <w:link w:val="subhead"/>
    <w:uiPriority w:val="99"/>
    <w:locked/>
    <w:rsid w:val="00723232"/>
    <w:rPr>
      <w:rFonts w:ascii="Arial" w:hAnsi="Arial" w:cs="Arial"/>
      <w:b/>
      <w:noProof/>
      <w:sz w:val="22"/>
      <w:szCs w:val="22"/>
      <w:lang w:eastAsia="en-US"/>
    </w:rPr>
  </w:style>
  <w:style w:type="paragraph" w:customStyle="1" w:styleId="body">
    <w:name w:val="body"/>
    <w:basedOn w:val="Normal"/>
    <w:link w:val="bodyChar"/>
    <w:uiPriority w:val="99"/>
    <w:rsid w:val="007F7A78"/>
    <w:pPr>
      <w:jc w:val="both"/>
    </w:pPr>
    <w:rPr>
      <w:rFonts w:cs="Arial"/>
      <w:noProof/>
      <w:spacing w:val="-5"/>
      <w:sz w:val="22"/>
      <w:szCs w:val="22"/>
    </w:rPr>
  </w:style>
  <w:style w:type="character" w:customStyle="1" w:styleId="bodyChar">
    <w:name w:val="body Char"/>
    <w:basedOn w:val="DefaultParagraphFont"/>
    <w:link w:val="body"/>
    <w:uiPriority w:val="99"/>
    <w:locked/>
    <w:rsid w:val="007F7A78"/>
    <w:rPr>
      <w:rFonts w:ascii="Arial" w:hAnsi="Arial" w:cs="Arial"/>
      <w:noProof/>
      <w:spacing w:val="-5"/>
      <w:sz w:val="22"/>
      <w:szCs w:val="22"/>
      <w:lang w:eastAsia="en-US"/>
    </w:rPr>
  </w:style>
  <w:style w:type="character" w:customStyle="1" w:styleId="SubheadingChar">
    <w:name w:val="Subheading Char"/>
    <w:basedOn w:val="DefaultParagraphFont"/>
    <w:link w:val="Subheading"/>
    <w:uiPriority w:val="99"/>
    <w:semiHidden/>
    <w:locked/>
    <w:rsid w:val="00CD5231"/>
    <w:rPr>
      <w:rFonts w:ascii="Arial" w:hAnsi="Arial" w:cs="Arial"/>
      <w:b/>
      <w:noProof/>
      <w:sz w:val="22"/>
      <w:szCs w:val="22"/>
      <w:lang w:eastAsia="en-US"/>
    </w:rPr>
  </w:style>
  <w:style w:type="paragraph" w:customStyle="1" w:styleId="CharCharCharChar0">
    <w:name w:val="Char Char Char Char"/>
    <w:basedOn w:val="Normal"/>
    <w:locked/>
    <w:rsid w:val="0078514E"/>
    <w:pPr>
      <w:spacing w:after="160" w:line="240" w:lineRule="exact"/>
    </w:pPr>
    <w:rPr>
      <w:rFonts w:ascii="Verdana" w:hAnsi="Verdana"/>
      <w:sz w:val="20"/>
      <w:lang w:val="en-US"/>
    </w:rPr>
  </w:style>
  <w:style w:type="character" w:customStyle="1" w:styleId="Heading5Char">
    <w:name w:val="Heading 5 Char"/>
    <w:basedOn w:val="DefaultParagraphFont"/>
    <w:link w:val="Heading5"/>
    <w:rsid w:val="00013A0A"/>
    <w:rPr>
      <w:rFonts w:ascii="Arial" w:hAnsi="Arial" w:cs="Arial"/>
      <w:sz w:val="28"/>
      <w:lang w:eastAsia="en-US"/>
    </w:rPr>
  </w:style>
  <w:style w:type="character" w:customStyle="1" w:styleId="Heading6Char">
    <w:name w:val="Heading 6 Char"/>
    <w:basedOn w:val="DefaultParagraphFont"/>
    <w:link w:val="Heading6"/>
    <w:rsid w:val="00013A0A"/>
    <w:rPr>
      <w:rFonts w:ascii="Arial" w:hAnsi="Arial" w:cs="Arial"/>
      <w:b/>
      <w:bCs/>
      <w:sz w:val="28"/>
      <w:szCs w:val="24"/>
      <w:lang w:eastAsia="en-US"/>
    </w:rPr>
  </w:style>
  <w:style w:type="character" w:customStyle="1" w:styleId="Heading7Char">
    <w:name w:val="Heading 7 Char"/>
    <w:basedOn w:val="DefaultParagraphFont"/>
    <w:link w:val="Heading7"/>
    <w:rsid w:val="00013A0A"/>
    <w:rPr>
      <w:rFonts w:ascii="Arial" w:hAnsi="Arial" w:cs="Arial"/>
      <w:i/>
      <w:iCs/>
      <w:sz w:val="24"/>
      <w:lang w:eastAsia="en-US"/>
    </w:rPr>
  </w:style>
  <w:style w:type="character" w:customStyle="1" w:styleId="Heading8Char">
    <w:name w:val="Heading 8 Char"/>
    <w:basedOn w:val="DefaultParagraphFont"/>
    <w:link w:val="Heading8"/>
    <w:rsid w:val="00013A0A"/>
    <w:rPr>
      <w:rFonts w:ascii="Arial" w:hAnsi="Arial" w:cs="Arial"/>
      <w:i/>
      <w:iCs/>
      <w:sz w:val="24"/>
      <w:lang w:eastAsia="en-US"/>
    </w:rPr>
  </w:style>
  <w:style w:type="character" w:customStyle="1" w:styleId="Heading9Char">
    <w:name w:val="Heading 9 Char"/>
    <w:basedOn w:val="DefaultParagraphFont"/>
    <w:link w:val="Heading9"/>
    <w:rsid w:val="00013A0A"/>
    <w:rPr>
      <w:rFonts w:ascii="Arial" w:hAnsi="Arial" w:cs="Arial"/>
      <w:sz w:val="24"/>
      <w:lang w:eastAsia="en-US"/>
    </w:rPr>
  </w:style>
  <w:style w:type="paragraph" w:customStyle="1" w:styleId="CharCharCharChar4">
    <w:name w:val="Char Char Char Char"/>
    <w:basedOn w:val="Normal"/>
    <w:locked/>
    <w:rsid w:val="00013A0A"/>
    <w:pPr>
      <w:spacing w:after="160" w:line="240" w:lineRule="exact"/>
    </w:pPr>
    <w:rPr>
      <w:rFonts w:ascii="Verdana" w:hAnsi="Verdana"/>
      <w:sz w:val="20"/>
      <w:lang w:val="en-US"/>
    </w:rPr>
  </w:style>
  <w:style w:type="paragraph" w:customStyle="1" w:styleId="CharCharCharCharCharCharCharChar0">
    <w:name w:val="Char Char Char Char Char Char Char Char"/>
    <w:basedOn w:val="Normal"/>
    <w:rsid w:val="00013A0A"/>
    <w:pPr>
      <w:spacing w:after="160" w:line="240" w:lineRule="exact"/>
    </w:pPr>
    <w:rPr>
      <w:rFonts w:ascii="Tahoma" w:hAnsi="Tahoma"/>
      <w:sz w:val="20"/>
      <w:lang w:eastAsia="en-GB"/>
    </w:rPr>
  </w:style>
  <w:style w:type="character" w:customStyle="1" w:styleId="Heading1Char">
    <w:name w:val="Heading 1 Char"/>
    <w:link w:val="Heading1"/>
    <w:uiPriority w:val="99"/>
    <w:rsid w:val="00013A0A"/>
    <w:rPr>
      <w:rFonts w:ascii="Arial Black" w:hAnsi="Arial Black" w:cs="Arial"/>
      <w:bCs/>
      <w:sz w:val="32"/>
      <w:szCs w:val="32"/>
      <w:lang w:eastAsia="en-US"/>
    </w:rPr>
  </w:style>
  <w:style w:type="character" w:customStyle="1" w:styleId="Heading2Char">
    <w:name w:val="Heading 2 Char"/>
    <w:link w:val="Heading2"/>
    <w:rsid w:val="00013A0A"/>
    <w:rPr>
      <w:rFonts w:ascii="Arial" w:hAnsi="Arial" w:cs="Arial"/>
      <w:b/>
      <w:bCs/>
      <w:sz w:val="28"/>
      <w:szCs w:val="32"/>
      <w:lang w:eastAsia="en-US"/>
    </w:rPr>
  </w:style>
  <w:style w:type="character" w:styleId="CommentReference">
    <w:name w:val="annotation reference"/>
    <w:rsid w:val="00013A0A"/>
    <w:rPr>
      <w:sz w:val="16"/>
      <w:szCs w:val="16"/>
    </w:rPr>
  </w:style>
  <w:style w:type="paragraph" w:styleId="CommentText">
    <w:name w:val="annotation text"/>
    <w:basedOn w:val="Normal"/>
    <w:link w:val="CommentTextChar"/>
    <w:rsid w:val="00013A0A"/>
    <w:rPr>
      <w:sz w:val="20"/>
    </w:rPr>
  </w:style>
  <w:style w:type="character" w:customStyle="1" w:styleId="CommentTextChar">
    <w:name w:val="Comment Text Char"/>
    <w:basedOn w:val="DefaultParagraphFont"/>
    <w:link w:val="CommentText"/>
    <w:rsid w:val="00013A0A"/>
    <w:rPr>
      <w:rFonts w:ascii="Arial" w:hAnsi="Arial"/>
      <w:lang w:eastAsia="en-US"/>
    </w:rPr>
  </w:style>
  <w:style w:type="paragraph" w:styleId="CommentSubject">
    <w:name w:val="annotation subject"/>
    <w:basedOn w:val="CommentText"/>
    <w:next w:val="CommentText"/>
    <w:link w:val="CommentSubjectChar"/>
    <w:rsid w:val="00013A0A"/>
    <w:rPr>
      <w:b/>
      <w:bCs/>
    </w:rPr>
  </w:style>
  <w:style w:type="character" w:customStyle="1" w:styleId="CommentSubjectChar">
    <w:name w:val="Comment Subject Char"/>
    <w:basedOn w:val="CommentTextChar"/>
    <w:link w:val="CommentSubject"/>
    <w:rsid w:val="00013A0A"/>
    <w:rPr>
      <w:rFonts w:ascii="Arial" w:hAnsi="Arial"/>
      <w:b/>
      <w:bCs/>
      <w:lang w:eastAsia="en-US"/>
    </w:rPr>
  </w:style>
  <w:style w:type="paragraph" w:styleId="BodyTextIndent2">
    <w:name w:val="Body Text Indent 2"/>
    <w:basedOn w:val="Normal"/>
    <w:link w:val="BodyTextIndent2Char"/>
    <w:rsid w:val="00013A0A"/>
    <w:pPr>
      <w:spacing w:after="120" w:line="480" w:lineRule="auto"/>
      <w:ind w:left="283"/>
    </w:pPr>
  </w:style>
  <w:style w:type="character" w:customStyle="1" w:styleId="BodyTextIndent2Char">
    <w:name w:val="Body Text Indent 2 Char"/>
    <w:basedOn w:val="DefaultParagraphFont"/>
    <w:link w:val="BodyTextIndent2"/>
    <w:rsid w:val="00013A0A"/>
    <w:rPr>
      <w:rFonts w:ascii="Arial" w:hAnsi="Arial"/>
      <w:sz w:val="24"/>
      <w:lang w:eastAsia="en-US"/>
    </w:rPr>
  </w:style>
  <w:style w:type="paragraph" w:styleId="DocumentMap">
    <w:name w:val="Document Map"/>
    <w:basedOn w:val="Normal"/>
    <w:link w:val="DocumentMapChar"/>
    <w:rsid w:val="00013A0A"/>
    <w:pPr>
      <w:shd w:val="clear" w:color="auto" w:fill="000080"/>
    </w:pPr>
    <w:rPr>
      <w:rFonts w:ascii="Tahoma" w:hAnsi="Tahoma" w:cs="Tahoma"/>
    </w:rPr>
  </w:style>
  <w:style w:type="character" w:customStyle="1" w:styleId="DocumentMapChar">
    <w:name w:val="Document Map Char"/>
    <w:basedOn w:val="DefaultParagraphFont"/>
    <w:link w:val="DocumentMap"/>
    <w:rsid w:val="00013A0A"/>
    <w:rPr>
      <w:rFonts w:ascii="Tahoma" w:hAnsi="Tahoma" w:cs="Tahoma"/>
      <w:sz w:val="24"/>
      <w:shd w:val="clear" w:color="auto" w:fill="000080"/>
      <w:lang w:eastAsia="en-US"/>
    </w:rPr>
  </w:style>
  <w:style w:type="character" w:customStyle="1" w:styleId="Heading3Char">
    <w:name w:val="Heading 3 Char"/>
    <w:rsid w:val="00013A0A"/>
    <w:rPr>
      <w:rFonts w:ascii="Arial" w:hAnsi="Arial" w:cs="Arial"/>
      <w:b/>
      <w:bCs/>
      <w:i/>
      <w:sz w:val="24"/>
      <w:szCs w:val="28"/>
      <w:lang w:val="en-GB" w:eastAsia="en-US" w:bidi="ar-SA"/>
    </w:rPr>
  </w:style>
  <w:style w:type="paragraph" w:customStyle="1" w:styleId="Style12ptJustified">
    <w:name w:val="Style 12 pt Justified"/>
    <w:basedOn w:val="Normal"/>
    <w:rsid w:val="00013A0A"/>
  </w:style>
  <w:style w:type="paragraph" w:customStyle="1" w:styleId="Style12ptLinespacing15lines">
    <w:name w:val="Style 12 pt Line spacing:  1.5 lines"/>
    <w:basedOn w:val="Normal"/>
    <w:rsid w:val="00013A0A"/>
  </w:style>
  <w:style w:type="paragraph" w:customStyle="1" w:styleId="Style12ptJustified1">
    <w:name w:val="Style 12 pt Justified1"/>
    <w:basedOn w:val="Normal"/>
    <w:rsid w:val="00013A0A"/>
  </w:style>
  <w:style w:type="paragraph" w:customStyle="1" w:styleId="Style12ptJustified2">
    <w:name w:val="Style 12 pt Justified2"/>
    <w:basedOn w:val="Normal"/>
    <w:rsid w:val="00013A0A"/>
  </w:style>
  <w:style w:type="paragraph" w:customStyle="1" w:styleId="Style12ptJustified3">
    <w:name w:val="Style 12 pt Justified3"/>
    <w:basedOn w:val="Normal"/>
    <w:rsid w:val="00013A0A"/>
  </w:style>
  <w:style w:type="paragraph" w:customStyle="1" w:styleId="StyleJustified">
    <w:name w:val="Style Justified"/>
    <w:basedOn w:val="Normal"/>
    <w:next w:val="Normal"/>
    <w:rsid w:val="00013A0A"/>
    <w:rPr>
      <w:szCs w:val="24"/>
    </w:rPr>
  </w:style>
  <w:style w:type="paragraph" w:styleId="BodyTextIndent">
    <w:name w:val="Body Text Indent"/>
    <w:basedOn w:val="Normal"/>
    <w:link w:val="BodyTextIndentChar"/>
    <w:rsid w:val="00013A0A"/>
    <w:pPr>
      <w:ind w:left="289" w:hanging="5"/>
      <w:jc w:val="both"/>
    </w:pPr>
    <w:rPr>
      <w:rFonts w:cs="Arial"/>
      <w:szCs w:val="22"/>
    </w:rPr>
  </w:style>
  <w:style w:type="character" w:customStyle="1" w:styleId="BodyTextIndentChar">
    <w:name w:val="Body Text Indent Char"/>
    <w:basedOn w:val="DefaultParagraphFont"/>
    <w:link w:val="BodyTextIndent"/>
    <w:rsid w:val="00013A0A"/>
    <w:rPr>
      <w:rFonts w:ascii="Arial" w:hAnsi="Arial" w:cs="Arial"/>
      <w:sz w:val="24"/>
      <w:szCs w:val="22"/>
      <w:lang w:eastAsia="en-US"/>
    </w:rPr>
  </w:style>
  <w:style w:type="paragraph" w:customStyle="1" w:styleId="infotext0">
    <w:name w:val="infotext"/>
    <w:basedOn w:val="Normal"/>
    <w:rsid w:val="00013A0A"/>
    <w:pPr>
      <w:spacing w:before="100" w:beforeAutospacing="1" w:after="100" w:afterAutospacing="1"/>
    </w:pPr>
    <w:rPr>
      <w:rFonts w:ascii="Times New Roman" w:hAnsi="Times New Roman"/>
      <w:szCs w:val="24"/>
      <w:lang w:val="en-US"/>
    </w:rPr>
  </w:style>
  <w:style w:type="paragraph" w:customStyle="1" w:styleId="xl25">
    <w:name w:val="xl25"/>
    <w:basedOn w:val="Normal"/>
    <w:rsid w:val="00013A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Cs w:val="24"/>
    </w:rPr>
  </w:style>
  <w:style w:type="paragraph" w:customStyle="1" w:styleId="xl35">
    <w:name w:val="xl35"/>
    <w:basedOn w:val="Normal"/>
    <w:rsid w:val="00013A0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36">
    <w:name w:val="xl36"/>
    <w:basedOn w:val="Normal"/>
    <w:rsid w:val="00013A0A"/>
    <w:pPr>
      <w:pBdr>
        <w:left w:val="single" w:sz="4" w:space="0" w:color="auto"/>
        <w:right w:val="single" w:sz="4" w:space="0" w:color="auto"/>
      </w:pBdr>
      <w:spacing w:before="100" w:beforeAutospacing="1" w:after="100" w:afterAutospacing="1"/>
    </w:pPr>
    <w:rPr>
      <w:rFonts w:eastAsia="Arial Unicode MS" w:cs="Arial"/>
      <w:szCs w:val="24"/>
    </w:rPr>
  </w:style>
  <w:style w:type="paragraph" w:styleId="BodyText2">
    <w:name w:val="Body Text 2"/>
    <w:basedOn w:val="Normal"/>
    <w:link w:val="BodyText2Char"/>
    <w:rsid w:val="00013A0A"/>
    <w:pPr>
      <w:spacing w:before="90"/>
      <w:jc w:val="both"/>
    </w:pPr>
    <w:rPr>
      <w:rFonts w:cs="Arial"/>
      <w:sz w:val="20"/>
      <w:szCs w:val="22"/>
    </w:rPr>
  </w:style>
  <w:style w:type="character" w:customStyle="1" w:styleId="BodyText2Char">
    <w:name w:val="Body Text 2 Char"/>
    <w:basedOn w:val="DefaultParagraphFont"/>
    <w:link w:val="BodyText2"/>
    <w:rsid w:val="00013A0A"/>
    <w:rPr>
      <w:rFonts w:ascii="Arial" w:hAnsi="Arial" w:cs="Arial"/>
      <w:szCs w:val="22"/>
      <w:lang w:eastAsia="en-US"/>
    </w:rPr>
  </w:style>
  <w:style w:type="paragraph" w:styleId="BodyTextIndent3">
    <w:name w:val="Body Text Indent 3"/>
    <w:basedOn w:val="Normal"/>
    <w:link w:val="BodyTextIndent3Char"/>
    <w:rsid w:val="00013A0A"/>
    <w:pPr>
      <w:spacing w:after="120"/>
      <w:ind w:left="283"/>
    </w:pPr>
    <w:rPr>
      <w:sz w:val="16"/>
      <w:szCs w:val="16"/>
    </w:rPr>
  </w:style>
  <w:style w:type="character" w:customStyle="1" w:styleId="BodyTextIndent3Char">
    <w:name w:val="Body Text Indent 3 Char"/>
    <w:basedOn w:val="DefaultParagraphFont"/>
    <w:link w:val="BodyTextIndent3"/>
    <w:rsid w:val="00013A0A"/>
    <w:rPr>
      <w:rFonts w:ascii="Arial" w:hAnsi="Arial"/>
      <w:sz w:val="16"/>
      <w:szCs w:val="16"/>
      <w:lang w:eastAsia="en-US"/>
    </w:rPr>
  </w:style>
  <w:style w:type="paragraph" w:customStyle="1" w:styleId="CharChar1Char">
    <w:name w:val="Char Char1 Char"/>
    <w:basedOn w:val="Normal"/>
    <w:rsid w:val="00013A0A"/>
    <w:pPr>
      <w:spacing w:after="160" w:line="240" w:lineRule="exact"/>
    </w:pPr>
    <w:rPr>
      <w:rFonts w:ascii="Tahoma" w:hAnsi="Tahoma"/>
      <w:sz w:val="20"/>
      <w:lang w:eastAsia="en-GB"/>
    </w:rPr>
  </w:style>
  <w:style w:type="paragraph" w:customStyle="1" w:styleId="Pa5">
    <w:name w:val="Pa5"/>
    <w:basedOn w:val="Normal"/>
    <w:next w:val="Normal"/>
    <w:rsid w:val="00013A0A"/>
    <w:pPr>
      <w:autoSpaceDE w:val="0"/>
      <w:autoSpaceDN w:val="0"/>
      <w:adjustRightInd w:val="0"/>
      <w:spacing w:line="221" w:lineRule="atLeast"/>
    </w:pPr>
    <w:rPr>
      <w:rFonts w:ascii="Bliss 2 Light" w:hAnsi="Bliss 2 Light"/>
      <w:szCs w:val="24"/>
      <w:lang w:val="en-US"/>
    </w:rPr>
  </w:style>
  <w:style w:type="paragraph" w:customStyle="1" w:styleId="Pa6">
    <w:name w:val="Pa6"/>
    <w:basedOn w:val="Normal"/>
    <w:next w:val="Normal"/>
    <w:rsid w:val="00013A0A"/>
    <w:pPr>
      <w:autoSpaceDE w:val="0"/>
      <w:autoSpaceDN w:val="0"/>
      <w:adjustRightInd w:val="0"/>
      <w:spacing w:line="201" w:lineRule="atLeast"/>
    </w:pPr>
    <w:rPr>
      <w:rFonts w:ascii="Bliss 2 Light" w:hAnsi="Bliss 2 Light"/>
      <w:szCs w:val="24"/>
      <w:lang w:val="en-US"/>
    </w:rPr>
  </w:style>
  <w:style w:type="paragraph" w:customStyle="1" w:styleId="Default">
    <w:name w:val="Default"/>
    <w:rsid w:val="00013A0A"/>
    <w:pPr>
      <w:widowControl w:val="0"/>
      <w:autoSpaceDE w:val="0"/>
      <w:autoSpaceDN w:val="0"/>
      <w:adjustRightInd w:val="0"/>
    </w:pPr>
    <w:rPr>
      <w:rFonts w:ascii="CPAFB D+ Optima" w:hAnsi="CPAFB D+ Optima"/>
      <w:color w:val="000000"/>
      <w:sz w:val="24"/>
      <w:szCs w:val="24"/>
    </w:rPr>
  </w:style>
  <w:style w:type="paragraph" w:customStyle="1" w:styleId="introduction">
    <w:name w:val="introduction"/>
    <w:basedOn w:val="Normal"/>
    <w:rsid w:val="00013A0A"/>
    <w:pPr>
      <w:spacing w:before="100" w:beforeAutospacing="1" w:after="100" w:afterAutospacing="1"/>
    </w:pPr>
    <w:rPr>
      <w:rFonts w:ascii="Times New Roman" w:hAnsi="Times New Roman"/>
      <w:szCs w:val="24"/>
      <w:lang w:val="en-US"/>
    </w:rPr>
  </w:style>
  <w:style w:type="character" w:customStyle="1" w:styleId="ChapterHeadingChar">
    <w:name w:val="Chapter Heading Char"/>
    <w:link w:val="ChapterHeading"/>
    <w:uiPriority w:val="99"/>
    <w:semiHidden/>
    <w:locked/>
    <w:rsid w:val="00013A0A"/>
    <w:rPr>
      <w:rFonts w:ascii="Calibri" w:hAnsi="Calibri" w:cs="Arial"/>
      <w:b/>
      <w:noProof/>
      <w:spacing w:val="-5"/>
      <w:sz w:val="36"/>
      <w:szCs w:val="36"/>
      <w:lang w:eastAsia="en-US"/>
    </w:rPr>
  </w:style>
  <w:style w:type="character" w:styleId="LineNumber">
    <w:name w:val="line number"/>
    <w:basedOn w:val="DefaultParagraphFont"/>
    <w:rsid w:val="00013A0A"/>
  </w:style>
  <w:style w:type="table" w:styleId="TableColumns5">
    <w:name w:val="Table Columns 5"/>
    <w:basedOn w:val="TableNormal"/>
    <w:rsid w:val="00013A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BodyTextChar">
    <w:name w:val="Body Text Char"/>
    <w:link w:val="BodyText"/>
    <w:rsid w:val="00013A0A"/>
    <w:rPr>
      <w:rFonts w:ascii="Arial" w:hAnsi="Arial" w:cs="Arial"/>
      <w:i/>
      <w:iCs/>
      <w:sz w:val="24"/>
      <w:lang w:eastAsia="en-US"/>
    </w:rPr>
  </w:style>
  <w:style w:type="paragraph" w:customStyle="1" w:styleId="CharChar1Char0">
    <w:name w:val="Char Char1 Char"/>
    <w:basedOn w:val="Normal"/>
    <w:rsid w:val="00013A0A"/>
    <w:pPr>
      <w:spacing w:after="160" w:line="240" w:lineRule="exact"/>
    </w:pPr>
    <w:rPr>
      <w:rFonts w:ascii="Tahoma" w:hAnsi="Tahoma"/>
      <w:sz w:val="20"/>
      <w:lang w:eastAsia="en-GB"/>
    </w:rPr>
  </w:style>
  <w:style w:type="table" w:customStyle="1" w:styleId="TableColumns51">
    <w:name w:val="Table Columns 51"/>
    <w:basedOn w:val="TableNormal"/>
    <w:next w:val="TableColumns5"/>
    <w:rsid w:val="00013A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52">
    <w:name w:val="Table Columns 52"/>
    <w:basedOn w:val="TableNormal"/>
    <w:next w:val="TableColumns5"/>
    <w:rsid w:val="00013A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511">
    <w:name w:val="Table Columns 511"/>
    <w:basedOn w:val="TableNormal"/>
    <w:next w:val="TableColumns5"/>
    <w:rsid w:val="00013A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erChar">
    <w:name w:val="Header Char"/>
    <w:link w:val="Header"/>
    <w:uiPriority w:val="99"/>
    <w:rsid w:val="00013A0A"/>
    <w:rPr>
      <w:rFonts w:ascii="Arial" w:hAnsi="Arial"/>
      <w:sz w:val="24"/>
      <w:lang w:eastAsia="en-US"/>
    </w:rPr>
  </w:style>
  <w:style w:type="paragraph" w:styleId="ListNumber">
    <w:name w:val="List Number"/>
    <w:basedOn w:val="Normal"/>
    <w:uiPriority w:val="99"/>
    <w:semiHidden/>
    <w:unhideWhenUsed/>
    <w:rsid w:val="0018443E"/>
    <w:pPr>
      <w:numPr>
        <w:numId w:val="53"/>
      </w:numPr>
      <w:contextualSpacing/>
    </w:pPr>
    <w:rPr>
      <w:spacing w:val="-5"/>
      <w:sz w:val="20"/>
    </w:rPr>
  </w:style>
  <w:style w:type="paragraph" w:customStyle="1" w:styleId="CharCharCharChar5">
    <w:name w:val="Char Char Char Char"/>
    <w:basedOn w:val="Normal"/>
    <w:locked/>
    <w:rsid w:val="00014D60"/>
    <w:pPr>
      <w:spacing w:after="160" w:line="240" w:lineRule="exact"/>
    </w:pPr>
    <w:rPr>
      <w:rFonts w:ascii="Verdana" w:hAnsi="Verdana"/>
      <w:sz w:val="20"/>
      <w:lang w:val="en-US"/>
    </w:rPr>
  </w:style>
  <w:style w:type="paragraph" w:styleId="NoSpacing">
    <w:name w:val="No Spacing"/>
    <w:uiPriority w:val="1"/>
    <w:qFormat/>
    <w:rsid w:val="0041570C"/>
    <w:rPr>
      <w:rFonts w:asciiTheme="minorHAnsi" w:eastAsiaTheme="minorHAnsi" w:hAnsiTheme="minorHAnsi" w:cstheme="minorBidi"/>
      <w:sz w:val="22"/>
      <w:szCs w:val="22"/>
      <w:lang w:eastAsia="en-US"/>
    </w:rPr>
  </w:style>
  <w:style w:type="paragraph" w:customStyle="1" w:styleId="NormalSm">
    <w:name w:val="NormalSm"/>
    <w:basedOn w:val="Normal"/>
    <w:rsid w:val="0041570C"/>
    <w:pPr>
      <w:spacing w:after="260" w:line="260" w:lineRule="atLeast"/>
    </w:pPr>
    <w:rPr>
      <w:rFonts w:ascii="Foundry Sans" w:hAnsi="Foundry Sans"/>
      <w:szCs w:val="24"/>
      <w:lang w:eastAsia="en-GB"/>
    </w:rPr>
  </w:style>
  <w:style w:type="table" w:styleId="GridTable1Light">
    <w:name w:val="Grid Table 1 Light"/>
    <w:basedOn w:val="TableNormal"/>
    <w:uiPriority w:val="46"/>
    <w:rsid w:val="0041570C"/>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41570C"/>
    <w:rPr>
      <w:rFonts w:asciiTheme="minorHAnsi" w:eastAsiaTheme="minorHAnsi" w:hAnsiTheme="minorHAnsi" w:cstheme="minorBidi"/>
      <w:color w:val="000000" w:themeColor="text1"/>
      <w:sz w:val="22"/>
      <w:szCs w:val="22"/>
      <w:lang w:eastAsia="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MediumGrid3-Accent12">
    <w:name w:val="Medium Grid 3 - Accent 12"/>
    <w:basedOn w:val="TableNormal"/>
    <w:uiPriority w:val="69"/>
    <w:rsid w:val="0041570C"/>
    <w:rPr>
      <w:rFonts w:ascii="Foundry Sans" w:hAnsi="Foundry Sans"/>
      <w:sz w:val="24"/>
      <w:szCs w:val="24"/>
      <w:lang w:eastAsia="en-US"/>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ascii="Foundry Sans" w:hAnsi="Foundry Sans"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ascii="Foundry Sans" w:hAnsi="Foundry Sans"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ascii="Foundry Sans" w:hAnsi="Foundry Sans" w:cs="Times New Roman" w:hint="default"/>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ascii="Foundry Sans" w:hAnsi="Foundry Sans" w:cs="Times New Roman" w:hint="default"/>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ascii="Foundry Sans" w:hAnsi="Foundry Sans"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style>
  <w:style w:type="table" w:customStyle="1" w:styleId="Style1">
    <w:name w:val="Style1"/>
    <w:basedOn w:val="TableNormal"/>
    <w:uiPriority w:val="99"/>
    <w:rsid w:val="0079124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812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39330">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309940193">
      <w:bodyDiv w:val="1"/>
      <w:marLeft w:val="0"/>
      <w:marRight w:val="0"/>
      <w:marTop w:val="0"/>
      <w:marBottom w:val="0"/>
      <w:divBdr>
        <w:top w:val="none" w:sz="0" w:space="0" w:color="auto"/>
        <w:left w:val="none" w:sz="0" w:space="0" w:color="auto"/>
        <w:bottom w:val="none" w:sz="0" w:space="0" w:color="auto"/>
        <w:right w:val="none" w:sz="0" w:space="0" w:color="auto"/>
      </w:divBdr>
    </w:div>
    <w:div w:id="495800468">
      <w:bodyDiv w:val="1"/>
      <w:marLeft w:val="0"/>
      <w:marRight w:val="0"/>
      <w:marTop w:val="0"/>
      <w:marBottom w:val="0"/>
      <w:divBdr>
        <w:top w:val="none" w:sz="0" w:space="0" w:color="auto"/>
        <w:left w:val="none" w:sz="0" w:space="0" w:color="auto"/>
        <w:bottom w:val="none" w:sz="0" w:space="0" w:color="auto"/>
        <w:right w:val="none" w:sz="0" w:space="0" w:color="auto"/>
      </w:divBdr>
    </w:div>
    <w:div w:id="539778286">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67787917">
      <w:bodyDiv w:val="1"/>
      <w:marLeft w:val="0"/>
      <w:marRight w:val="0"/>
      <w:marTop w:val="0"/>
      <w:marBottom w:val="0"/>
      <w:divBdr>
        <w:top w:val="none" w:sz="0" w:space="0" w:color="auto"/>
        <w:left w:val="none" w:sz="0" w:space="0" w:color="auto"/>
        <w:bottom w:val="none" w:sz="0" w:space="0" w:color="auto"/>
        <w:right w:val="none" w:sz="0" w:space="0" w:color="auto"/>
      </w:divBdr>
    </w:div>
    <w:div w:id="1551501035">
      <w:bodyDiv w:val="1"/>
      <w:marLeft w:val="0"/>
      <w:marRight w:val="0"/>
      <w:marTop w:val="0"/>
      <w:marBottom w:val="0"/>
      <w:divBdr>
        <w:top w:val="none" w:sz="0" w:space="0" w:color="auto"/>
        <w:left w:val="none" w:sz="0" w:space="0" w:color="auto"/>
        <w:bottom w:val="none" w:sz="0" w:space="0" w:color="auto"/>
        <w:right w:val="none" w:sz="0" w:space="0" w:color="auto"/>
      </w:divBdr>
    </w:div>
    <w:div w:id="1635745479">
      <w:bodyDiv w:val="1"/>
      <w:marLeft w:val="0"/>
      <w:marRight w:val="0"/>
      <w:marTop w:val="0"/>
      <w:marBottom w:val="0"/>
      <w:divBdr>
        <w:top w:val="none" w:sz="0" w:space="0" w:color="auto"/>
        <w:left w:val="none" w:sz="0" w:space="0" w:color="auto"/>
        <w:bottom w:val="none" w:sz="0" w:space="0" w:color="auto"/>
        <w:right w:val="none" w:sz="0" w:space="0" w:color="auto"/>
      </w:divBdr>
    </w:div>
    <w:div w:id="1749573906">
      <w:bodyDiv w:val="1"/>
      <w:marLeft w:val="0"/>
      <w:marRight w:val="0"/>
      <w:marTop w:val="0"/>
      <w:marBottom w:val="0"/>
      <w:divBdr>
        <w:top w:val="none" w:sz="0" w:space="0" w:color="auto"/>
        <w:left w:val="none" w:sz="0" w:space="0" w:color="auto"/>
        <w:bottom w:val="none" w:sz="0" w:space="0" w:color="auto"/>
        <w:right w:val="none" w:sz="0" w:space="0" w:color="auto"/>
      </w:divBdr>
    </w:div>
    <w:div w:id="178627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6.emf"/><Relationship Id="rId26" Type="http://schemas.openxmlformats.org/officeDocument/2006/relationships/hyperlink" Target="mailto:dawn.calvert@harrow.gov.uk" TargetMode="External"/><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7.emf"/><Relationship Id="rId31"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hyperlink" Target="http://www.legislation.gov.uk/ukpga/2003/26/contents" TargetMode="External"/><Relationship Id="rId30"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1bda97-64e7-4000-91fd-dcaad77bf85d" ContentTypeId="0x0101000226E4B75CFA47B488D2CEFE4DCFDD64AD" PreviousValue="false"/>
</file>

<file path=customXml/item2.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11111111-1111-1111-1111-111111111111</TermId>
        </TermInfo>
      </Terms>
    </TaxKeywordTaxHTField>
    <HarrowProtectiveMarking xmlns="e48e9339-ef40-4192-ab59-a15ba5582753"/>
    <HarrowDescription xmlns="e48e9339-ef40-4192-ab59-a15ba5582753" xsi:nil="true"/>
    <Template_x0020_Type xmlns="54c1341a-f0b2-450a-9883-97eea039321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2.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6.xml><?xml version="1.0" encoding="utf-8"?>
<ds:datastoreItem xmlns:ds="http://schemas.openxmlformats.org/officeDocument/2006/customXml" ds:itemID="{111E2476-B888-45A1-8320-3832B8DF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68</Pages>
  <Words>21368</Words>
  <Characters>115735</Characters>
  <Application>Microsoft Office Word</Application>
  <DocSecurity>0</DocSecurity>
  <Lines>964</Lines>
  <Paragraphs>273</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136830</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Nikolova</cp:lastModifiedBy>
  <cp:revision>14</cp:revision>
  <cp:lastPrinted>2019-12-05T15:28:00Z</cp:lastPrinted>
  <dcterms:created xsi:type="dcterms:W3CDTF">2021-02-08T11:51:00Z</dcterms:created>
  <dcterms:modified xsi:type="dcterms:W3CDTF">2021-02-09T10:08:00Z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